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2328-2023 i Vetlanda kommun</w:t>
      </w:r>
    </w:p>
    <w:p>
      <w:r>
        <w:t>Denna tillsynsbegäran behandlar höga naturvärden i samrådsanmälan S 2328-2023 i Vetlanda kommun som inkom 2023-06-29 och omfattar 38,5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S 2328-2023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6356837, E 506147 i SWEREF 99 TM.</w:t>
      </w:r>
    </w:p>
    <w:p>
      <w:r>
        <w:t>I samrådsanmälan finns fynd av 2 naturvårdsarter, varav 2 är fridlysta och 1 är typisk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