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1065-2025 i Eksjö kommun</w:t>
      </w:r>
    </w:p>
    <w:p>
      <w:r>
        <w:t>Detta dokument behandlar höga naturvärden i avverkningsanmälan A 1065-2025 i Eksjö kommun. Denna avverkningsanmälan inkom 2025-01-09 14:05:46 och omfattar 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lindvedvivel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5264"/>
            <wp:docPr id="1" name="Picture 1"/>
            <wp:cNvGraphicFramePr>
              <a:graphicFrameLocks noChangeAspect="1"/>
            </wp:cNvGraphicFramePr>
            <a:graphic>
              <a:graphicData uri="http://schemas.openxmlformats.org/drawingml/2006/picture">
                <pic:pic>
                  <pic:nvPicPr>
                    <pic:cNvPr id="0" name="A 1065-2025 karta.png"/>
                    <pic:cNvPicPr/>
                  </pic:nvPicPr>
                  <pic:blipFill>
                    <a:blip r:embed="rId16"/>
                    <a:stretch>
                      <a:fillRect/>
                    </a:stretch>
                  </pic:blipFill>
                  <pic:spPr>
                    <a:xfrm>
                      <a:off x="0" y="0"/>
                      <a:ext cx="5486400" cy="3275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6381902, E 504002 i SWEREF 99 TM.</w:t>
      </w:r>
    </w:p>
    <w:p>
      <w:r>
        <w:rPr>
          <w:b/>
        </w:rPr>
        <w:t xml:space="preserve">Lindvedvivel </w:t>
      </w:r>
      <w:r>
        <w:t>är en skalbagge vars larvutveckling sker i mer eller mindre hård, död ved, främst på insidan av stamhåligheter i levande gamla lövträd, bl.a. i poppel, lind, lönn, alm och ask, i norra Sverige främst asp. Arten påverkas negativt av brist på grova eller gamla träd och det föreligger indikation på eller misstanke om populationsminskning. Minskningen avser kvalitén på artens habitat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