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34468-2024 i Eksjö kommun</w:t>
      </w:r>
    </w:p>
    <w:p>
      <w:r>
        <w:t>Detta dokument behandlar höga naturvärden i avverkningsanmälan A 34468-2024 i Eksjö kommun. Denna avverkningsanmälan inkom 2024-08-21 och omfattar 13,6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 taggsvamp (NT) och sparvuggla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04091"/>
            <wp:docPr id="1" name="Picture 1"/>
            <wp:cNvGraphicFramePr>
              <a:graphicFrameLocks noChangeAspect="1"/>
            </wp:cNvGraphicFramePr>
            <a:graphic>
              <a:graphicData uri="http://schemas.openxmlformats.org/drawingml/2006/picture">
                <pic:pic>
                  <pic:nvPicPr>
                    <pic:cNvPr id="0" name="A 34468-2024 karta.png"/>
                    <pic:cNvPicPr/>
                  </pic:nvPicPr>
                  <pic:blipFill>
                    <a:blip r:embed="rId16"/>
                    <a:stretch>
                      <a:fillRect/>
                    </a:stretch>
                  </pic:blipFill>
                  <pic:spPr>
                    <a:xfrm>
                      <a:off x="0" y="0"/>
                      <a:ext cx="5486400" cy="6004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6391566, E 511747 i SWEREF 99 TM.</w:t>
      </w:r>
    </w:p>
    <w:p>
      <w:pPr>
        <w:pStyle w:val="Heading1"/>
      </w:pPr>
      <w:r>
        <w:t>Fridlysta arter</w:t>
      </w:r>
    </w:p>
    <w:p>
      <w:r>
        <w:t>Följande fridlysta arter har sina livsmiljöer och växtplatser i den avverkningsanmälda skogen: sparvuggla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Sparvuggla (§4)</w:t>
      </w:r>
      <w:r>
        <w:t>,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(§4), som omfattas av fågeldirektivets bilaga 1,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p>
    <w:p>
      <w:r>
        <w:t xml:space="preserve">Skogsstyrelsen, 2016. </w:t>
      </w:r>
      <w:r>
        <w:rPr>
          <w:i/>
        </w:rPr>
        <w:t>Vägledning för hänsyn till sparvuggla.</w:t>
      </w:r>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