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1084-2023 i Eksjö kommun</w:t>
      </w:r>
    </w:p>
    <w:p>
      <w:r>
        <w:t>Detta klagomål behandlar höga naturvärden i samrådsanmälan S 1084-2023 i Eksjö kommun som inkom 2023-03-28 och omfattar 142,1 ha.</w:t>
      </w:r>
    </w:p>
    <w:p>
      <w:pPr>
        <w:pStyle w:val="Caption"/>
      </w:pPr>
      <w:r>
        <w:drawing>
          <wp:inline xmlns:a="http://schemas.openxmlformats.org/drawingml/2006/main" xmlns:pic="http://schemas.openxmlformats.org/drawingml/2006/picture">
            <wp:extent cx="5486400" cy="3774492"/>
            <wp:docPr id="1" name="Picture 1"/>
            <wp:cNvGraphicFramePr>
              <a:graphicFrameLocks noChangeAspect="1"/>
            </wp:cNvGraphicFramePr>
            <a:graphic>
              <a:graphicData uri="http://schemas.openxmlformats.org/drawingml/2006/picture">
                <pic:pic>
                  <pic:nvPicPr>
                    <pic:cNvPr id="0" name="S 1084-2023 karta.png"/>
                    <pic:cNvPicPr/>
                  </pic:nvPicPr>
                  <pic:blipFill>
                    <a:blip r:embed="rId16"/>
                    <a:stretch>
                      <a:fillRect/>
                    </a:stretch>
                  </pic:blipFill>
                  <pic:spPr>
                    <a:xfrm>
                      <a:off x="0" y="0"/>
                      <a:ext cx="5486400" cy="3774492"/>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6390914, E 497571 i SWEREF 99 TM.</w:t>
      </w:r>
    </w:p>
    <w:p>
      <w:r>
        <w:t>I och inom 9 meter från samrådsanmälan finns fynd av 25 naturvårdsarter, varav 14 är rödlistade, 16 är fridlysta, 10 är typiska (T) och 3 är signalarter (S): grönfink (VU, §4), knärot (VU, T, §8), björktrast (NT, §4), dropptaggsvamp (NT, T), entita (NT, T, §4), gropticka (NT, T), gulsparv (NT, §4), järnsparv (NT, §4), klofibbla (NT), motaggsvamp (NT, T), sädesärla (NT, §4), talltita (NT, §4), ullticka (NT, T), åkerkål (NT), blåmossa (S, T), grovticka (S, T), grönpyrola (S, T), spillkråka (T, §4), grönsiska (§4), kråka (§4), kungsfågel (§4), svartvit flugsnappare (§4), sångsvan (§4), åkergroda (§4a)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1.29 ha med buffertzonerna och får av detta skäl inte avverkas.</w:t>
      </w:r>
    </w:p>
    <w:p>
      <w:pPr>
        <w:pStyle w:val="Caption"/>
      </w:pPr>
      <w:r>
        <w:drawing>
          <wp:inline xmlns:a="http://schemas.openxmlformats.org/drawingml/2006/main" xmlns:pic="http://schemas.openxmlformats.org/drawingml/2006/picture">
            <wp:extent cx="5486400" cy="3295611"/>
            <wp:docPr id="2" name="Picture 2"/>
            <wp:cNvGraphicFramePr>
              <a:graphicFrameLocks noChangeAspect="1"/>
            </wp:cNvGraphicFramePr>
            <a:graphic>
              <a:graphicData uri="http://schemas.openxmlformats.org/drawingml/2006/picture">
                <pic:pic>
                  <pic:nvPicPr>
                    <pic:cNvPr id="0" name="S 1084-2023 karta knärot.png"/>
                    <pic:cNvPicPr/>
                  </pic:nvPicPr>
                  <pic:blipFill>
                    <a:blip r:embed="rId17"/>
                    <a:stretch>
                      <a:fillRect/>
                    </a:stretch>
                  </pic:blipFill>
                  <pic:spPr>
                    <a:xfrm>
                      <a:off x="0" y="0"/>
                      <a:ext cx="5486400" cy="329561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6390914, E 497571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25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