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11347-2019 i Eksjö kommun</w:t>
      </w:r>
    </w:p>
    <w:p>
      <w:r>
        <w:t>Detta dokument behandlar höga naturvärden i avverkningsanmälan A 11347-2019 i Eksjö kommun. Denna avverkningsanmälan inkom 2019-02-21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slåttergubbe (VU), strimsporrebagge (NT), svinrot (NT), blomkålssvamp (S), vanlig padda (§6),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1817"/>
            <wp:docPr id="1" name="Picture 1"/>
            <wp:cNvGraphicFramePr>
              <a:graphicFrameLocks noChangeAspect="1"/>
            </wp:cNvGraphicFramePr>
            <a:graphic>
              <a:graphicData uri="http://schemas.openxmlformats.org/drawingml/2006/picture">
                <pic:pic>
                  <pic:nvPicPr>
                    <pic:cNvPr id="0" name="A 11347-2019 karta.png"/>
                    <pic:cNvPicPr/>
                  </pic:nvPicPr>
                  <pic:blipFill>
                    <a:blip r:embed="rId16"/>
                    <a:stretch>
                      <a:fillRect/>
                    </a:stretch>
                  </pic:blipFill>
                  <pic:spPr>
                    <a:xfrm>
                      <a:off x="0" y="0"/>
                      <a:ext cx="5486400" cy="641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6390307, E 497030 i SWEREF 99 TM.</w:t>
      </w:r>
    </w:p>
    <w:p>
      <w:pPr>
        <w:pStyle w:val="Heading1"/>
      </w:pPr>
      <w:r>
        <w:t>Fridlysta arter</w:t>
      </w:r>
    </w:p>
    <w:p>
      <w:r>
        <w:t>Följande fridlysta arter har sina livsmiljöer och växtplatser i den avverkningsanmälda skogen: vanlig padda (§6),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