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34468-2024 i Eksjö kommun</w:t>
      </w:r>
    </w:p>
    <w:p>
      <w:r>
        <w:t>Detta dokument behandlar höga naturvärden i avverkningsanmälan A 34468-2024 i Eksjö kommun. Denna avverkningsanmälan inkom 2024-08-21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gul taggsvamp (NT) och sparvuggla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4091"/>
            <wp:docPr id="1" name="Picture 1"/>
            <wp:cNvGraphicFramePr>
              <a:graphicFrameLocks noChangeAspect="1"/>
            </wp:cNvGraphicFramePr>
            <a:graphic>
              <a:graphicData uri="http://schemas.openxmlformats.org/drawingml/2006/picture">
                <pic:pic>
                  <pic:nvPicPr>
                    <pic:cNvPr id="0" name="A 34468-2024 karta.png"/>
                    <pic:cNvPicPr/>
                  </pic:nvPicPr>
                  <pic:blipFill>
                    <a:blip r:embed="rId16"/>
                    <a:stretch>
                      <a:fillRect/>
                    </a:stretch>
                  </pic:blipFill>
                  <pic:spPr>
                    <a:xfrm>
                      <a:off x="0" y="0"/>
                      <a:ext cx="5486400" cy="600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6391566, E 511747 i SWEREF 99 TM.</w:t>
      </w:r>
    </w:p>
    <w:p>
      <w:r>
        <w:rPr>
          <w:b/>
        </w:rPr>
        <w:t xml:space="preserve">Gul taggsvamp (NT) </w:t>
      </w:r>
      <w:r>
        <w:t>bildar mykorrhiza med gran helst på kalkrik mark, gärna i fuktig äldre ängsgranskog. Slutavverkning och markberedning missgynnar arten och fler områden med äldre skog på näringsrik mark, framför allt i södra och mellersta Sverige, behöver bevaras (SLU Artdatabanken, 2024).</w:t>
      </w:r>
    </w:p>
    <w:p>
      <w:pPr>
        <w:pStyle w:val="Heading1"/>
      </w:pPr>
      <w:r>
        <w:t>Fridlysta arter</w:t>
      </w:r>
    </w:p>
    <w:p>
      <w:r>
        <w:t>Följande fridlysta arter har sina livsmiljöer och växtplatser i den avverkningsanmälda skogen: knärot (VU, §8)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7573077"/>
            <wp:docPr id="2" name="Picture 2"/>
            <wp:cNvGraphicFramePr>
              <a:graphicFrameLocks noChangeAspect="1"/>
            </wp:cNvGraphicFramePr>
            <a:graphic>
              <a:graphicData uri="http://schemas.openxmlformats.org/drawingml/2006/picture">
                <pic:pic>
                  <pic:nvPicPr>
                    <pic:cNvPr id="0" name="A 34468-2024 karta knärot.png"/>
                    <pic:cNvPicPr/>
                  </pic:nvPicPr>
                  <pic:blipFill>
                    <a:blip r:embed="rId17"/>
                    <a:stretch>
                      <a:fillRect/>
                    </a:stretch>
                  </pic:blipFill>
                  <pic:spPr>
                    <a:xfrm>
                      <a:off x="0" y="0"/>
                      <a:ext cx="5486400" cy="75730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6391566, E 511747 i SWEREF 99 TM.</w:t>
      </w:r>
    </w:p>
    <w:p>
      <w:pPr>
        <w:pStyle w:val="Caption"/>
      </w:pP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