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10495-2026 i Tranås kommun</w:t>
      </w:r>
    </w:p>
    <w:p>
      <w:r>
        <w:t>Denna tillsynsbegäran behandlar höga naturvärden i avverkningsanmälan A 10495-2026 i Tranås kommun som inkom 2026-02-24 och omfattar 1,8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A 10495-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6430408, E 492765 i SWEREF 99 TM.</w:t>
      </w:r>
    </w:p>
    <w:p>
      <w:r>
        <w:t>I och inom 16 meter från avverkningsanmälan finns fynd av 12 naturvårdsarter, varav 3 är rödlistade, 7 är typiska (T) och 9 är signalarter (S): gulvit blekspik (VU, T), gammelekslav (NT, T), scharlakansvaxing (NT), brun nållav (S), grå skärelav (S), guldlockmossa (S, T), gulnål (S, T), kornig nållav (S, T), lindskål (S), lönnlav (S), rävticka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gulvit blekspik (VU, T), gammelekslav (NT, T), guldlockmossa (S, T), gulnål (S, T), kornig nållav (S, T), rävticka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