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20822-2024 i Tranås kommun</w:t>
      </w:r>
    </w:p>
    <w:p>
      <w:r>
        <w:t>Denna tillsynsbegäran behandlar höga naturvärden i avverkningsanmälan A 20822-2024 i Tranås kommun som inkom 2024-05-27 och omfattar 4,7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20822-2024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6438532, E 485670 i SWEREF 99 TM.</w:t>
      </w:r>
    </w:p>
    <w:p>
      <w:r>
        <w:t>I och inom 8 meter från avverkningsanmälan finns fynd av 2 naturvårdsarter, varav 1 är rödlistad och 1 är signalart (S): bredbrämad bastardsvärmare (VU)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