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2710-2026 i Tranås kommun</w:t>
      </w:r>
    </w:p>
    <w:p>
      <w:r>
        <w:t>Denna tillsynsbegäran behandlar höga naturvärden i samrådsanmälan S 2710-2026 i Tranås kommun som inkom 2026-10-16 och omfattar 1,9 ha.</w:t>
      </w:r>
    </w:p>
    <w:p>
      <w:pPr>
        <w:pStyle w:val="Caption"/>
      </w:pPr>
      <w:r>
        <w:drawing>
          <wp:inline xmlns:a="http://schemas.openxmlformats.org/drawingml/2006/main" xmlns:pic="http://schemas.openxmlformats.org/drawingml/2006/picture">
            <wp:extent cx="5486400" cy="5421197"/>
            <wp:docPr id="1" name="Picture 1"/>
            <wp:cNvGraphicFramePr>
              <a:graphicFrameLocks noChangeAspect="1"/>
            </wp:cNvGraphicFramePr>
            <a:graphic>
              <a:graphicData uri="http://schemas.openxmlformats.org/drawingml/2006/picture">
                <pic:pic>
                  <pic:nvPicPr>
                    <pic:cNvPr id="0" name="S 2710-2026 karta.png"/>
                    <pic:cNvPicPr/>
                  </pic:nvPicPr>
                  <pic:blipFill>
                    <a:blip r:embed="rId16"/>
                    <a:stretch>
                      <a:fillRect/>
                    </a:stretch>
                  </pic:blipFill>
                  <pic:spPr>
                    <a:xfrm>
                      <a:off x="0" y="0"/>
                      <a:ext cx="5486400" cy="542119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6433741, E 496689 i SWEREF 99 TM.</w:t>
      </w:r>
    </w:p>
    <w:p>
      <w:r>
        <w:t>I samrådsanmälan finns fynd av 5 naturvårdsarter, varav 4 är typiska (T) och 5 är signalarter (S): kornig nållav (S, T), lönnlav (S), sotlav (S, T), stenporella (S, T) och trädporella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