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10495-2026 i Tranås kommun</w:t>
      </w:r>
    </w:p>
    <w:p>
      <w:r>
        <w:t>Detta klagomål behandlar höga naturvärden i avverkningsanmälan A 10495-2026 i Tranås kommun som inkom 2026-02-24 och omfattar 1,8 ha.</w:t>
      </w:r>
    </w:p>
    <w:p>
      <w:pPr>
        <w:pStyle w:val="Caption"/>
      </w:pPr>
      <w:r>
        <w:drawing>
          <wp:inline xmlns:a="http://schemas.openxmlformats.org/drawingml/2006/main" xmlns:pic="http://schemas.openxmlformats.org/drawingml/2006/picture">
            <wp:extent cx="5486400" cy="4616953"/>
            <wp:docPr id="1" name="Picture 1"/>
            <wp:cNvGraphicFramePr>
              <a:graphicFrameLocks noChangeAspect="1"/>
            </wp:cNvGraphicFramePr>
            <a:graphic>
              <a:graphicData uri="http://schemas.openxmlformats.org/drawingml/2006/picture">
                <pic:pic>
                  <pic:nvPicPr>
                    <pic:cNvPr id="0" name="A 10495-2026 karta.png"/>
                    <pic:cNvPicPr/>
                  </pic:nvPicPr>
                  <pic:blipFill>
                    <a:blip r:embed="rId16"/>
                    <a:stretch>
                      <a:fillRect/>
                    </a:stretch>
                  </pic:blipFill>
                  <pic:spPr>
                    <a:xfrm>
                      <a:off x="0" y="0"/>
                      <a:ext cx="5486400" cy="4616953"/>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har ett svart streck som visar fyndplatsens exakta position. Kartans mittpunktskoordinat är N 6430408, E 492765 i SWEREF 99 TM.</w:t>
      </w:r>
    </w:p>
    <w:p>
      <w:r>
        <w:t>I och inom 16 meter från avverkningsanmälan finns fynd av 12 naturvårdsarter, varav 3 är rödlistade, 7 är typiska (T) och 9 är signalarter (S): gulvit blekspik (VU, T), gammelekslav (NT, T), scharlakansvaxing (NT), brun nållav (S), grå skärelav (S), guldlockmossa (S, T), gulnål (S, T), kornig nållav (S, T), lindskål (S), lönnlav (S), rävticka (S, T) och trubbfjädermossa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Gulvit blekspik (VU)</w:t>
      </w:r>
      <w:r>
        <w:t xml:space="preserve"> växer främst på öppet stående, grova ädellövträd av framförallt ask och alm samt ibland även på lönn. Arten förekommer ofta i hagmarker, lövängar, parker och i alléer. Aktuella förekomster bör skyddas, speciellt förekomster som inte växer på alm och ask. Eftersom alm- och askskottsjukan är det allvarligaste hotet är åtgärder för att motverka dessa sjukdomar mycket viktigt. Alla blekspikar av släktet </w:t>
      </w:r>
      <w:r>
        <w:rPr>
          <w:i/>
        </w:rPr>
        <w:t>Sclerophora</w:t>
      </w:r>
      <w:r>
        <w:t xml:space="preserve"> ​​​​är utmärkta signalarter för gamla träd och skogsområden med höga naturvärden. Gulvit blekspik är typisk art för </w:t>
      </w:r>
      <w:r>
        <w:rPr>
          <w:i/>
        </w:rPr>
        <w:t>9020 Nordlig ädellövskog, 9070 Trädklädd betesmark, 9180 Ädellövskog i branter</w:t>
      </w:r>
      <w:r>
        <w:t xml:space="preserve"> och </w:t>
      </w:r>
      <w:r>
        <w:rPr>
          <w:i/>
        </w:rPr>
        <w:t>6530 Lövängar</w:t>
      </w:r>
      <w:r>
        <w:t xml:space="preserve"> (SLU Artdatabanken, 2024; Nitare &amp; Skogsstyrelsen, 2019).</w:t>
      </w:r>
    </w:p>
    <w:p>
      <w:r>
        <w:rPr>
          <w:b/>
        </w:rPr>
        <w:t xml:space="preserve">Gammelekslav (NT) </w:t>
      </w:r>
      <w:r>
        <w:t>är en mycket exklusiv lav som</w:t>
      </w:r>
      <w:r>
        <w:rPr>
          <w:b/>
        </w:rPr>
        <w:t xml:space="preserve"> </w:t>
      </w:r>
      <w:r>
        <w:t xml:space="preserve">växer på grova ekar i halvöppet läge med hög luftfuktighet. Lämpliga ekar nyskapas i mycket begränsad omfattning. Arten är placerad högst upp i Skogsstyrelsens värdepyramid för bedömning av skog med höga naturvärden. Håll öppet kring ekjättarnas ömtåliga och konkurrenskänsliga kronor. Särskilt rika lokaler med gammelekslav måste skyddas. Gammelekslav är typisk art för </w:t>
      </w:r>
      <w:r>
        <w:rPr>
          <w:i/>
        </w:rPr>
        <w:t xml:space="preserve">9160 Näringsrik ekskog </w:t>
      </w:r>
      <w:r>
        <w:t xml:space="preserve">och </w:t>
      </w:r>
      <w:r>
        <w:rPr>
          <w:i/>
        </w:rPr>
        <w:t>9070 Trädklädd betesmark</w:t>
      </w:r>
      <w:r>
        <w:t xml:space="preserve"> (SLU Artdatabanken, 2024; Nitare &amp; Skogsstyrelsen, 2019).</w:t>
      </w:r>
    </w:p>
    <w:p>
      <w:r>
        <w:rPr>
          <w:b/>
        </w:rPr>
        <w:t xml:space="preserve">Scharlakansvaxing (NT) </w:t>
      </w:r>
      <w:r>
        <w:t>växer mest på magra, ogödslade naturbetes- och slåttermarker men kan sällsynt även påträffas i luckig skogsmark och på rikare mulljord i ädellövskog. Arten är globalt rödlistad som sårbar (VU) vilket innebär att Sverige har ett internationellt ansvar för arten (SLU Artdatabanken, 2024; IUCN, 2019).</w:t>
      </w:r>
    </w:p>
    <w:p>
      <w:r>
        <w:rPr>
          <w:b/>
        </w:rPr>
        <w:t>Grå skärelav</w:t>
      </w:r>
      <w:r>
        <w:t xml:space="preserve"> växer på barken av mycket gamla och grova jätteekar i halvöppet eller öppet läge. Sverige har ett stort internationellt ansvar att bevara dessa grova ekjättar och det är viktigt att hålla öppet kring deras konkurrenskänsliga kronor. Arten följs ofta av ett stort antal rödlistade lavar varför särskilt rika lokaler med grå skärelav bör skyddas. Grå skärelav är typisk art för </w:t>
      </w:r>
      <w:r>
        <w:rPr>
          <w:i/>
        </w:rPr>
        <w:t>9070 Trädklädd betesmark</w:t>
      </w:r>
      <w:r>
        <w:t xml:space="preserve"> och </w:t>
      </w:r>
      <w:r>
        <w:rPr>
          <w:i/>
        </w:rPr>
        <w:t>6530 Lövängar</w:t>
      </w:r>
      <w:r>
        <w:t xml:space="preserve"> (SLU Artdatabanken, 2024;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Rävticka</w:t>
      </w:r>
      <w:r>
        <w:t xml:space="preserve"> är typisk art för </w:t>
      </w:r>
      <w:r>
        <w:rPr>
          <w:i/>
        </w:rPr>
        <w:t xml:space="preserve">9010 Taiga </w:t>
      </w:r>
      <w:r>
        <w:t>(SLU Artdatabanken, 2025).</w:t>
      </w:r>
    </w:p>
    <w:p>
      <w:r>
        <w:rPr>
          <w:b/>
        </w:rPr>
        <w:t>Trubbfjädermossa</w:t>
      </w:r>
      <w:r>
        <w:t xml:space="preserve"> signalerar vanligtvis skog med höga naturvärden och den växer på något skuggade block eller trädbaser, oftast nära marken, eller på jord intill vattendrag. Den trivs bäst i ädellövskog och förekommer ofta tillsammans med baronmossor </w:t>
      </w:r>
      <w:r>
        <w:rPr>
          <w:i/>
        </w:rPr>
        <w:t>Anomodon</w:t>
      </w:r>
      <w:r>
        <w:t xml:space="preserve"> och fjädermossor</w:t>
      </w:r>
      <w:r>
        <w:rPr>
          <w:i/>
        </w:rPr>
        <w:t xml:space="preserve"> Neckera</w:t>
      </w:r>
      <w:r>
        <w:t xml:space="preserve">. Trubbfjädermossa är typisk art för </w:t>
      </w:r>
      <w:r>
        <w:rPr>
          <w:i/>
        </w:rPr>
        <w:t>9020 Nordlig ädellövskog,</w:t>
      </w:r>
      <w:r>
        <w:t xml:space="preserve"> </w:t>
      </w:r>
      <w:r>
        <w:rPr>
          <w:i/>
        </w:rPr>
        <w:t xml:space="preserve">9080 Lövsumpskog, 9750 Svämlövskog, 9110 Näringsfattig bokskog, 9130 Näringsrik bokskog </w:t>
      </w:r>
      <w:r>
        <w:t xml:space="preserve">och </w:t>
      </w:r>
      <w:r>
        <w:rPr>
          <w:i/>
        </w:rPr>
        <w:t xml:space="preserve">9760 Svämädellövskog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