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614-2023 i Uppvidinge kommun</w:t>
      </w:r>
    </w:p>
    <w:p>
      <w:r>
        <w:t>Detta klagomål behandlar höga naturvärden i samrådsanmälan S 614-2023 i Uppvidinge kommun som inkom 2023-02-15 och omfattar 975,5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S 614-2023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6319088, E 525192 i SWEREF 99 TM.</w:t>
      </w:r>
    </w:p>
    <w:p>
      <w:r>
        <w:t>I och inom 25 meter från samrådsanmälan finns fynd av 23 naturvårdsarter, varav 11 är rödlistade, 13 är fridlysta, 5 är typiska (T) och 2 är signalarter (S): knärot (VU, T, §8), slåttergubbe (VU), etternässla (NT), fjällig taggsvamp s.str. (NT), klubbsprötad bastardsvärmare (NT), kungsfiskare (NT, §4), rödvingetrast (NT, §4), slåtterfibbla (NT, T), sommarfibbla (NT), spindelört (NT), vårärt (NT, T), avlång flatbagge (S), grönpyrola (S, T), nattskärra (T, §4), fiskgjuse (§4), gröngöling (§4), havsörn (§4), kråka (§4), kungsfågel (§4), orre (§4), svartvit flugsnappare (§4), utter (§4a)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456993"/>
            <wp:docPr id="2" name="Picture 2"/>
            <wp:cNvGraphicFramePr>
              <a:graphicFrameLocks noChangeAspect="1"/>
            </wp:cNvGraphicFramePr>
            <a:graphic>
              <a:graphicData uri="http://schemas.openxmlformats.org/drawingml/2006/picture">
                <pic:pic>
                  <pic:nvPicPr>
                    <pic:cNvPr id="0" name="S 614-2023 karta knärot.png"/>
                    <pic:cNvPicPr/>
                  </pic:nvPicPr>
                  <pic:blipFill>
                    <a:blip r:embed="rId17"/>
                    <a:stretch>
                      <a:fillRect/>
                    </a:stretch>
                  </pic:blipFill>
                  <pic:spPr>
                    <a:xfrm>
                      <a:off x="0" y="0"/>
                      <a:ext cx="5486400" cy="44569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6319088, E 525192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