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28468-2023 i Uppvidinge kommun</w:t>
      </w:r>
    </w:p>
    <w:p>
      <w:r>
        <w:t>Denna tillsynsbegäran behandlar höga naturvärden i avverkningsanmälan A 28468-2023 i Uppvidinge kommun som inkom 2023-06-26 och omfattar 5,9 ha.</w:t>
      </w:r>
    </w:p>
    <w:p>
      <w:pPr>
        <w:pStyle w:val="Caption"/>
      </w:pPr>
      <w:r>
        <w:drawing>
          <wp:inline xmlns:a="http://schemas.openxmlformats.org/drawingml/2006/main" xmlns:pic="http://schemas.openxmlformats.org/drawingml/2006/picture">
            <wp:extent cx="5486400" cy="5706987"/>
            <wp:docPr id="1" name="Picture 1"/>
            <wp:cNvGraphicFramePr>
              <a:graphicFrameLocks noChangeAspect="1"/>
            </wp:cNvGraphicFramePr>
            <a:graphic>
              <a:graphicData uri="http://schemas.openxmlformats.org/drawingml/2006/picture">
                <pic:pic>
                  <pic:nvPicPr>
                    <pic:cNvPr id="0" name="A 28468-2023 karta.png"/>
                    <pic:cNvPicPr/>
                  </pic:nvPicPr>
                  <pic:blipFill>
                    <a:blip r:embed="rId16"/>
                    <a:stretch>
                      <a:fillRect/>
                    </a:stretch>
                  </pic:blipFill>
                  <pic:spPr>
                    <a:xfrm>
                      <a:off x="0" y="0"/>
                      <a:ext cx="5486400" cy="57069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6326224, E 527290 i SWEREF 99 TM.</w:t>
      </w:r>
    </w:p>
    <w:p>
      <w:r>
        <w:t>I avverkningsanmälan finns fynd av 2 naturvårdsarter, varav 2 är fridlysta, 1 är typisk (T) och 1 är signalart (S): korallrot (S, T, §8) och dubbelnycklar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