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41968-2023 i Uppvidinge kommun</w:t>
      </w:r>
    </w:p>
    <w:p>
      <w:r>
        <w:t>Denna tillsynsbegäran behandlar höga naturvärden i avverkningsanmälan A 41968-2023 i Uppvidinge kommun som inkom 2023-09-05 och omfattar 2,8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41968-2023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6338131, E 505176 i SWEREF 99 TM.</w:t>
      </w:r>
    </w:p>
    <w:p>
      <w:r>
        <w:t>I och inom 12 meter från avverkningsanmälan finns fynd av 32 naturvårdsarter, varav 17 är rödlistade, 2 är fridlysta och 14 är signalarter (S): bredgentiana (VU, §8), brunfläckig pärlemorfjäril (VU), mindre bastardsvärmare (VU), sepiavaxing (VU), silverblåvinge (VU), slåttergubbe (VU), slåttergubbemal (VU), smalsprötad bastardsvärmare (VU), trådvaxing (VU), ängsblåvinge (VU), fagervaxing (NT), praktvaxing (NT), scharlakansvaxing (NT), solvända (NT), sommarfibbla (NT), spindelört (NT), spindelörtskinnbagge (NT), blodvaxing (S), broskvaxing (S), gråvaxing (S), gulvaxing (S), honungsvaxing (S), kantarellvaxing (S), luktvaxing (S), mönjevaxing (S), papegojvaxing (S), småvaxing (S), sprödvaxing (S), toppvaxing (S), vitvaxing agg. (S), ängsvaxing agg. (S)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Fagervaxing (NT) </w:t>
      </w:r>
      <w:r>
        <w:t>växer i välhävdad, ogödslad betes- eller slåttermark. Sällsynt även i ädellövskog på extremt kalkrik mark. Total population i landet bedöms ha minskat kraftigt och fortgående minska, huvudsakligen p.g.a. upphörande hävd med åtföljande vegetationsförändringar samt ändrad djurhållning med tyngre köttdjur och stödutfordring som leder till förhöjda näringsnivåer i marken. Fagervaxing ingår i ett åtgärdsprogram för hotade arter (ÅGP) och är globalt rödlistad som sårbar (VU) vilket innebär att Sverige har ett internationellt ansvar för arten (SLU Artdatabanken, 2024; IUCN, 2024; Jordal, 2011).</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