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59357-2023 i Uppvidinge kommun</w:t>
      </w:r>
    </w:p>
    <w:p>
      <w:r>
        <w:t>Detta dokument behandlar höga naturvärden i avverkningsanmälan A 59357-2023 i Uppvidinge kommun. Denna avverkningsanmälan inkom 2023-11-23 och omfattar 4,4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fjällig taggsvamp s.str. (S), skarp dropptaggsvamp (S) och tjockfotad fingersvamp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43846"/>
            <wp:docPr id="1" name="Picture 1"/>
            <wp:cNvGraphicFramePr>
              <a:graphicFrameLocks noChangeAspect="1"/>
            </wp:cNvGraphicFramePr>
            <a:graphic>
              <a:graphicData uri="http://schemas.openxmlformats.org/drawingml/2006/picture">
                <pic:pic>
                  <pic:nvPicPr>
                    <pic:cNvPr id="0" name="A 59357-2023 karta.png"/>
                    <pic:cNvPicPr/>
                  </pic:nvPicPr>
                  <pic:blipFill>
                    <a:blip r:embed="rId16"/>
                    <a:stretch>
                      <a:fillRect/>
                    </a:stretch>
                  </pic:blipFill>
                  <pic:spPr>
                    <a:xfrm>
                      <a:off x="0" y="0"/>
                      <a:ext cx="5486400" cy="45438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6312213, E 549635 i SWEREF 99 TM.</w:t>
      </w:r>
    </w:p>
    <w:p>
      <w:r>
        <w:rPr>
          <w:b/>
        </w:rPr>
        <w:t xml:space="preserve">Tjockfotad fingersvamp </w:t>
      </w:r>
      <w:r>
        <w:t>bildar mykorrhiza med bok och ek på kalkrik mark i huvudsakligen äldre skog men även med gran i örtrik äldre barrskog. Slutavverkning, gödsling eller exploatering måste undvikas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