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41968-2023 i Uppvidinge kommun</w:t>
      </w:r>
    </w:p>
    <w:p>
      <w:r>
        <w:t>Detta dokument behandlar höga naturvärden i avverkningsanmälan A 41968-2023 i Uppvidinge kommun. Denna avverkningsanmälan inkom 2023-09-05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30 naturvårdsarter hittats: bredgentiana (EN, §8), sepiavaxing (VU), slåttergubbe (VU), slåttergubbemal (VU), trådvaxing (VU), fagervaxing (NT), mindre bastardsvärmare (NT), praktvaxing (NT), scharlakansvaxing (NT), smalsprötad bastardsvärmare (NT), solvända (NT), sommarfibbla (NT), spindelört (NT), spindelörtskinnbagge (NT), svävflugedagsvärmare (NT), blodvaxing (S), broskvaxing (S), gråvaxing (S), gulvaxing (S), honungsvaxing (S), kantarellvaxing (S), luktvaxing (S), mönjevaxing (S), papegojvaxskivling/rödgrön vaxskivling (S), småvaxing (S), sprödvaxing (S), toppvaxing (S), vit vaxskivling (S), ängsvaxskivling (S) och brudsporre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41968-2023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6338131, E 505176 i SWEREF 99 TM.</w:t>
      </w:r>
    </w:p>
    <w:p>
      <w:r>
        <w:rPr>
          <w:b/>
        </w:rPr>
        <w:t xml:space="preserve">Fagervaxing (NT) </w:t>
      </w:r>
      <w:r>
        <w:t>växer i välhävdad, ogödslad betes- eller slåttermark. Sällsynt även i ädellövskog på extremt kalkrik mark. Total population i landet bedöms ha minskat kraftigt och fortgående minska, huvudsakligen p.g.a. upphörande hävd med åtföljande vegetationsförändringar samt ändrad djurhållning med tyngre köttdjur och stödutfordring som leder till förhöjda näringsnivåer i marken. Fagervaxing ingår i ett åtgärdsprogram för hotade arter (ÅGP) och är globalt rödlistad som sårbar (VU) vilket innebär att Sverige har ett internationellt ansvar för arten (SLU Artdatabanken, 2024; IUCN, 2024; Jordal, 2011).</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Fridlysta arter</w:t>
      </w:r>
    </w:p>
    <w:p>
      <w:r>
        <w:t>Följande fridlysta arter har sina livsmiljöer och växtplatser i den avverkningsanmälda skogen: bredgentiana (EN, §8) och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