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614-2023 i Uppvidinge kommun</w:t>
      </w:r>
    </w:p>
    <w:p>
      <w:r>
        <w:t>Denna tillsynsbegäran behandlar höga naturvärden i samrådsanmälan S 614-2023 i Uppvidinge kommun som inkom 2023-02-15 och omfattar 975,5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S 614-2023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6319088, E 525192 i SWEREF 99 TM.</w:t>
      </w:r>
    </w:p>
    <w:p>
      <w:r>
        <w:t>I och inom 25 meter från samrådsanmälan finns fynd av 23 naturvårdsarter, varav 11 är rödlistade, 13 är fridlysta, 5 är typiska (T) och 2 är signalarter (S): knärot (VU, T, §8), slåttergubbe (VU), etternässla (NT), fjällig taggsvamp s.str. (NT), klubbsprötad bastardsvärmare (NT), kungsfiskare (NT, §4), rödvingetrast (NT, §4), slåtterfibbla (NT, T), sommarfibbla (NT), spindelört (NT), vårärt (NT, T), avlång flatbagge (S), grönpyrola (S, T), nattskärra (T, §4), fiskgjuse (§4), gröngöling (§4), havsörn (§4), kråka (§4), kungsfågel (§4), orre (§4), svartvit flugsnappare (§4), utter (§4a)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4456993"/>
            <wp:docPr id="2" name="Picture 2"/>
            <wp:cNvGraphicFramePr>
              <a:graphicFrameLocks noChangeAspect="1"/>
            </wp:cNvGraphicFramePr>
            <a:graphic>
              <a:graphicData uri="http://schemas.openxmlformats.org/drawingml/2006/picture">
                <pic:pic>
                  <pic:nvPicPr>
                    <pic:cNvPr id="0" name="S 614-2023 karta knärot.png"/>
                    <pic:cNvPicPr/>
                  </pic:nvPicPr>
                  <pic:blipFill>
                    <a:blip r:embed="rId17"/>
                    <a:stretch>
                      <a:fillRect/>
                    </a:stretch>
                  </pic:blipFill>
                  <pic:spPr>
                    <a:xfrm>
                      <a:off x="0" y="0"/>
                      <a:ext cx="5486400" cy="445699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6319088, E 525192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Avlång flatbagge </w:t>
      </w:r>
      <w:r>
        <w:t>är en skalbagge vars larvutveckling sker i vitrötad, mycelhaltig ved av flera trädslag, främst ek, bok, alm, lind, asp och ask, men även tall. Gärna under tjock skorpbark som sitter kvar länge, såsom på gamla ek- och tallstammar. Den förekommer främst i äldre skogsområden med naturskogskaraktär eller kulturmarker med hög andel gamla träd, t.ex. hagmarker med grova ekar. Arten påverkas negativt av brist på kontinuitetsskog och en minskning av populationen pågår eller förväntas ske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slåtterfibbla (NT, T), vårärt (NT, T), grönpyrola (S, T) och nattskärra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