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1898-2024 i Uppvidinge kommun</w:t>
      </w:r>
    </w:p>
    <w:p>
      <w:r>
        <w:t>Detta klagomål behandlar höga naturvärden i samrådsanmälan S 1898-2024 i Uppvidinge kommun som inkom 2024-05-30 och omfattar 10,4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S 1898-2024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6319900, E 535234 i SWEREF 99 TM.</w:t>
      </w:r>
    </w:p>
    <w:p>
      <w:r>
        <w:t>I och inom 11 meter från samrådsanmälan finns fynd av 21 naturvårdsarter, varav 12 är rödlistade, 2 är fridlysta, 7 är typiska (T) och 9 är signalarter (S): bitter taggsvamp (EN), spricktaggsvamp (EN), garnlav (VU, T), knärot (VU, T, §8), dropptaggsvamp (NT, T), fjällig taggsvamp s.str. (NT), orange taggsvamp (NT, T), skarp dropptaggsvamp (NT), tallriska (NT), talltita (NT, §4), tjockfotad fingersvamp (NT), ullticka (NT, T), blomkålssvamp (S), brandticka (S), bronshjon (S, T), broskvaxing (S), grönpyrola (S, T), rödgul trumpetsvamp (S), rökmusseron (S), stor revmossa (S)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4.81 ha med buffertzonerna och får av detta skäl inte avverkas.</w:t>
      </w:r>
    </w:p>
    <w:p>
      <w:pPr>
        <w:pStyle w:val="Caption"/>
      </w:pPr>
      <w:r>
        <w:drawing>
          <wp:inline xmlns:a="http://schemas.openxmlformats.org/drawingml/2006/main" xmlns:pic="http://schemas.openxmlformats.org/drawingml/2006/picture">
            <wp:extent cx="5486400" cy="6152379"/>
            <wp:docPr id="2" name="Picture 2"/>
            <wp:cNvGraphicFramePr>
              <a:graphicFrameLocks noChangeAspect="1"/>
            </wp:cNvGraphicFramePr>
            <a:graphic>
              <a:graphicData uri="http://schemas.openxmlformats.org/drawingml/2006/picture">
                <pic:pic>
                  <pic:nvPicPr>
                    <pic:cNvPr id="0" name="S 1898-2024 karta knärot.png"/>
                    <pic:cNvPicPr/>
                  </pic:nvPicPr>
                  <pic:blipFill>
                    <a:blip r:embed="rId17"/>
                    <a:stretch>
                      <a:fillRect/>
                    </a:stretch>
                  </pic:blipFill>
                  <pic:spPr>
                    <a:xfrm>
                      <a:off x="0" y="0"/>
                      <a:ext cx="5486400" cy="61523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6319900, E 535234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