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617-2023 i Uppvidinge kommun</w:t>
      </w:r>
    </w:p>
    <w:p>
      <w:r>
        <w:t>Detta klagomål behandlar höga naturvärden i samrådsanmälan S 617-2023 i Uppvidinge kommun som inkom 2023-02-15 och omfattar 493,3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S 617-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6315673, E 526531 i SWEREF 99 TM.</w:t>
      </w:r>
    </w:p>
    <w:p>
      <w:r>
        <w:t>I och inom 24 meter från samrådsanmälan finns fynd av 28 naturvårdsarter, varav 12 är rödlistade, 10 är fridlysta, 11 är typiska (T) och 8 är signalarter (S): backmåra (NT), brödmärgsticka (NT, T), ekticka (NT, T), gullpudra (NT, T), kattfotslav (NT, T), kungsfiskare (NT, §4), rosenporing (NT), rutskinn (NT, T), skogshare (NT), spindelört (NT), stäppröksvamp (NT), älg (NT), björksplintborre (S), bronshjon (S, T), hasselsopp (S), honungsvaxing (S), kantarellvaxing (S), korallrot (S, T, §8), småskölding (S), vågbandad barkbock (S), blåsippa (T, §9), spillkråka (T, §4), tallbit (T, §4), tjäder (T, §4), havsörn (§4), orre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