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46465-2019 i Uppvidinge kommun</w:t>
      </w:r>
    </w:p>
    <w:p>
      <w:r>
        <w:t>Detta dokument behandlar höga naturvärden i avverkningsanmälan A 46465-2019 i Uppvidinge kommun. Denna avverkningsanmälan inkom 2019-09-09 och omfattar 4,1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7 naturvårdsarter hittats: grantaggsvamp (NT), gultoppig fingersvamp (NT), svartvit taggsvamp (NT), fjällig taggsvamp s.str. (S), skarp dropptaggsvamp (S), zontaggsvamp (S) och blåsippa (§9). Av dessa är 3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7476359"/>
            <wp:docPr id="1" name="Picture 1"/>
            <wp:cNvGraphicFramePr>
              <a:graphicFrameLocks noChangeAspect="1"/>
            </wp:cNvGraphicFramePr>
            <a:graphic>
              <a:graphicData uri="http://schemas.openxmlformats.org/drawingml/2006/picture">
                <pic:pic>
                  <pic:nvPicPr>
                    <pic:cNvPr id="0" name="A 46465-2019 karta.png"/>
                    <pic:cNvPicPr/>
                  </pic:nvPicPr>
                  <pic:blipFill>
                    <a:blip r:embed="rId16"/>
                    <a:stretch>
                      <a:fillRect/>
                    </a:stretch>
                  </pic:blipFill>
                  <pic:spPr>
                    <a:xfrm>
                      <a:off x="0" y="0"/>
                      <a:ext cx="5486400" cy="747635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6313854, E 550619 i SWEREF 99 TM.</w:t>
      </w:r>
    </w:p>
    <w:p>
      <w:r>
        <w:rPr>
          <w:b/>
        </w:rPr>
        <w:t xml:space="preserve">Grantaggsvamp (NT) </w:t>
      </w:r>
      <w:r>
        <w:t>påträffas främst i mossiga och örtrika äldre granskogar på kalkrik mark i något fuktiga lägen, och i norr även i mager tallskog med lång kontinuitet. Arten missgynnas generellt av trakthyggesbruket och en långsiktig tillgång till värdträd bör säkras genom att man undviker att avverka kända växtplatser (SLU Artdatabanken, 2024).</w:t>
      </w:r>
    </w:p>
    <w:p>
      <w:r>
        <w:rPr>
          <w:b/>
        </w:rPr>
        <w:t xml:space="preserve">Svartvit taggsvamp (NT) </w:t>
      </w:r>
      <w:r>
        <w:t>bildar mykorrhiza med tall, troligen även med gran. Den växer huvudsakligen i äldre, naturligt uppkommen skog på torr eller frisk mark och förekommer såväl på tallhedar som i mossig barrblandskog. Flera olika former har påträffats vid DNA-undersökningar av europeiskt material och det är oklart hur många former som finns i värd land. Kalavverkning av äldre skog är ett reellt hot, liksom maskinell markberedning och minskad andel självföryngring. Lokaler som fortfarande håller svampen behöver säkerställas (SLU Artdatabanken, 2024; Nitare &amp; Skogsstyrelsen, 2019).</w:t>
      </w:r>
    </w:p>
    <w:p>
      <w:pPr>
        <w:pStyle w:val="Heading1"/>
      </w:pPr>
      <w:r>
        <w:t>Fridlysta arter</w:t>
      </w:r>
    </w:p>
    <w:p>
      <w:r>
        <w:t>Följande fridlysta arter har sina livsmiljöer och växtplatser i den avverkningsanmälda skogen: blåsippa (§9).</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0 fyndplatser för knärot registrerade på Artportalen. Figur 2 visar gränserna för buffertzoner på 50 m, som behöver lämnas kring fyndplatserna för att knärotslokalerna inte ska försvinna vid en avverkning. Av det avverkningsanmälda området överlappar 0.46 ha med buffertzonerna och får av detta skäl inte avverkas.</w:t>
      </w:r>
    </w:p>
    <w:p>
      <w:pPr>
        <w:pStyle w:val="Caption"/>
      </w:pPr>
      <w:r>
        <w:drawing>
          <wp:inline xmlns:a="http://schemas.openxmlformats.org/drawingml/2006/main" xmlns:pic="http://schemas.openxmlformats.org/drawingml/2006/picture">
            <wp:extent cx="5486400" cy="10976229"/>
            <wp:docPr id="2" name="Picture 2"/>
            <wp:cNvGraphicFramePr>
              <a:graphicFrameLocks noChangeAspect="1"/>
            </wp:cNvGraphicFramePr>
            <a:graphic>
              <a:graphicData uri="http://schemas.openxmlformats.org/drawingml/2006/picture">
                <pic:pic>
                  <pic:nvPicPr>
                    <pic:cNvPr id="0" name="A 46465-2019 karta knärot.png"/>
                    <pic:cNvPicPr/>
                  </pic:nvPicPr>
                  <pic:blipFill>
                    <a:blip r:embed="rId17"/>
                    <a:stretch>
                      <a:fillRect/>
                    </a:stretch>
                  </pic:blipFill>
                  <pic:spPr>
                    <a:xfrm>
                      <a:off x="0" y="0"/>
                      <a:ext cx="5486400" cy="10976229"/>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6313854, E 550619 i SWEREF 99 TM.</w:t>
      </w:r>
    </w:p>
    <w:p>
      <w:pPr>
        <w:pStyle w:val="Caption"/>
      </w:pP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7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2025-04-16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