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1490-2025 i Uppvidinge kommun</w:t>
      </w:r>
    </w:p>
    <w:p>
      <w:r>
        <w:t>Denna tillsynsbegäran behandlar höga naturvärden i samrådsanmälan S 1490-2025 i Uppvidinge kommun som inkom 2025-05-12 och omfattar 376,5 ha.</w:t>
      </w:r>
    </w:p>
    <w:p>
      <w:pPr>
        <w:pStyle w:val="Caption"/>
      </w:pPr>
      <w:r>
        <w:drawing>
          <wp:inline xmlns:a="http://schemas.openxmlformats.org/drawingml/2006/main" xmlns:pic="http://schemas.openxmlformats.org/drawingml/2006/picture">
            <wp:extent cx="5486400" cy="4413630"/>
            <wp:docPr id="1" name="Picture 1"/>
            <wp:cNvGraphicFramePr>
              <a:graphicFrameLocks noChangeAspect="1"/>
            </wp:cNvGraphicFramePr>
            <a:graphic>
              <a:graphicData uri="http://schemas.openxmlformats.org/drawingml/2006/picture">
                <pic:pic>
                  <pic:nvPicPr>
                    <pic:cNvPr id="0" name="S 1490-2025 karta.png"/>
                    <pic:cNvPicPr/>
                  </pic:nvPicPr>
                  <pic:blipFill>
                    <a:blip r:embed="rId16"/>
                    <a:stretch>
                      <a:fillRect/>
                    </a:stretch>
                  </pic:blipFill>
                  <pic:spPr>
                    <a:xfrm>
                      <a:off x="0" y="0"/>
                      <a:ext cx="5486400" cy="441363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6332253, E 531212 i SWEREF 99 TM.</w:t>
      </w:r>
    </w:p>
    <w:p>
      <w:r>
        <w:t>I och inom 19 meter från samrådsanmälan finns fynd av 11 naturvårdsarter, varav 5 är rödlistade, 5 är fridlysta, 7 är typiska (T) och 3 är signalarter (S): brunlångöra (NT, §4a), kortskaftad ärgspik (NT), nordfladdermus (NT, §4a), sommarfibbla (NT), vedskivlav (NT, T), blåmossa (S, T), gulnål (S, T), kornig nållav (S, T), blåsippa (T, §9), mattlummer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vedskivlav (NT, T), blåmossa (S, T), gulnål (S, T), kornig nållav (S, T), blåsippa (T, §9),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