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41968-2023 i Uppvidinge kommun</w:t>
      </w:r>
    </w:p>
    <w:p>
      <w:r>
        <w:t>Detta dokument behandlar höga naturvärden i avverkningsanmälan A 41968-2023 i Uppvidinge kommun. Denna avverkningsanmälan inkom 2023-09-05 00:00:00 och omfattar 2,8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30 naturvårdsarter hittats: bredgentiana (EN, §8), sepiavaxing (VU), slåttergubbe (VU), slåttergubbemal (VU), trådvaxing (VU), fagervaxing (NT), mindre bastardsvärmare (NT), praktvaxing (NT), scharlakansvaxing (NT), smalsprötad bastardsvärmare (NT), solvända (NT), sommarfibbla (NT), spindelört (NT), spindelörtskinnbagge (NT), svävflugedagsvärmare (NT), blodvaxing (S), broskvaxing (S), gråvaxing (S), gulvaxing (S), honungsvaxing (S), kantarellvaxing (S), luktvaxing (S), mönjevaxing (S), papegojvaxskivling/rödgrön vaxskivling (S), småvaxing (S), sprödvaxing (S), toppvaxing (S), vit vaxskivling (S), ängsvaxskivling (S) och brudsporre (§8).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5227"/>
            <wp:docPr id="1" name="Picture 1"/>
            <wp:cNvGraphicFramePr>
              <a:graphicFrameLocks noChangeAspect="1"/>
            </wp:cNvGraphicFramePr>
            <a:graphic>
              <a:graphicData uri="http://schemas.openxmlformats.org/drawingml/2006/picture">
                <pic:pic>
                  <pic:nvPicPr>
                    <pic:cNvPr id="0" name="A 41968-2023 karta.png"/>
                    <pic:cNvPicPr/>
                  </pic:nvPicPr>
                  <pic:blipFill>
                    <a:blip r:embed="rId16"/>
                    <a:stretch>
                      <a:fillRect/>
                    </a:stretch>
                  </pic:blipFill>
                  <pic:spPr>
                    <a:xfrm>
                      <a:off x="0" y="0"/>
                      <a:ext cx="5486400" cy="5575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6338131, E 505176 i SWEREF 99 TM.</w:t>
      </w:r>
    </w:p>
    <w:p>
      <w:r>
        <w:rPr>
          <w:b/>
        </w:rPr>
        <w:t xml:space="preserve">Fagervaxing (NT) </w:t>
      </w:r>
      <w:r>
        <w:t>växer i välhävdad, ogödslad betes- eller slåttermark. Sällsynt även i ädellövskog på extremt kalkrik mark. Total population i landet bedöms ha minskat kraftigt och fortgående minska, huvudsakligen p.g.a. upphörande hävd med åtföljande vegetationsförändringar samt ändrad djurhållning med tyngre köttdjur och stödutfordring som leder till förhöjda näringsnivåer i marken. Fagervaxing ingår i ett åtgärdsprogram för hotade arter (ÅGP) och är globalt rödlistad som sårbar (VU) vilket innebär att Sverige har ett internationellt ansvar för arten (SLU Artdatabanken, 2024; IUCN, 2024; Jordal, 2011).</w:t>
      </w:r>
    </w:p>
    <w:p>
      <w:r>
        <w:rPr>
          <w:b/>
        </w:rPr>
        <w:t xml:space="preserve">Luktvaxing </w:t>
      </w:r>
      <w:r>
        <w:t>växer mindre allmänt men lokalt ganska rikligt på naturbetsmark, även inne i rika lövlundar. Den är tydligt kalkgynnad och vanligast i kalktrakter. Lukten är speciell, påminnande om bärfis eller ekriska (</w:t>
      </w:r>
      <w:r>
        <w:rPr>
          <w:i/>
        </w:rPr>
        <w:t>Lactarius quietus</w:t>
      </w:r>
      <w:r>
        <w:t>). Arten är globalt rödlistad som sårbar (VU) vilket innebär att Sverige har ett internationellt ansvar för arten (SLU Artdatabanken, 2024; IUCN, 2024).</w:t>
      </w:r>
    </w:p>
    <w:p>
      <w:r>
        <w:rPr>
          <w:b/>
        </w:rPr>
        <w:t xml:space="preserve">Praktvaxing (NT) </w:t>
      </w:r>
      <w:r>
        <w:t>växer i hedartad, sur och mager gräsmark med stagg och ljungtuvor på betad mark med lång historia av hävd, ofta bland mossa. De allra flesta fynden i såväl Sverige som i Norge är från öppna marker och bara ett fåtal från betade skogar. Praktvaxing ingår i ett åtgärdsprogram för hotade arter (ÅGP) och är globalt rödlistad som sårbar (VU) vilket innebär att Sverige har ett internationellt ansvar för arten (SLU Artdatabanken, 2024; IUCN, 2019; Jordal, 2011).</w:t>
      </w:r>
    </w:p>
    <w:p>
      <w:r>
        <w:rPr>
          <w:b/>
        </w:rPr>
        <w:t xml:space="preserve">Scharlakansvaxing (NT) </w:t>
      </w:r>
      <w:r>
        <w:t>växer mest på magra, ogödslade naturbetes- och slåttermarker men kan sällsynt även påträffas i luckig skogsmark och på rikare mulljord i ädellövskog. Arten är globalt rödlistad som sårbar (VU) vilket innebär att Sverige har ett internationellt ansvar för arten (SLU Artdatabanken, 2024; IUCN, 2019).</w:t>
      </w:r>
    </w:p>
    <w:p>
      <w:pPr>
        <w:pStyle w:val="Heading1"/>
      </w:pPr>
      <w:r>
        <w:t>Fridlysta arter</w:t>
      </w:r>
    </w:p>
    <w:p>
      <w:r>
        <w:t>Följande fridlysta arter har sina livsmiljöer och växtplatser i den avverkningsanmälda skogen: bredgentiana (EN, §8) och brudsporre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29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30 naturvårdsarter varav 15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