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59843-2024 i Uppvidinge kommun</w:t>
      </w:r>
    </w:p>
    <w:p>
      <w:r>
        <w:t>Detta dokument behandlar höga naturvärden i avverkningsanmälan A 59843-2024 i Uppvidinge kommun. Denna avverkningsanmälan inkom 2024-12-13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ögonvaxskivling (NT), bittervaxing (S), blodvaxing (S), gulvaxing (S), papegojvaxskivling (S), sprödvaxing (S), tvåfläckig praktbagge (S), vit vaxskivling (S) och ängsvaxskivling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3844"/>
            <wp:docPr id="1" name="Picture 1"/>
            <wp:cNvGraphicFramePr>
              <a:graphicFrameLocks noChangeAspect="1"/>
            </wp:cNvGraphicFramePr>
            <a:graphic>
              <a:graphicData uri="http://schemas.openxmlformats.org/drawingml/2006/picture">
                <pic:pic>
                  <pic:nvPicPr>
                    <pic:cNvPr id="0" name="A 59843-2024 karta.png"/>
                    <pic:cNvPicPr/>
                  </pic:nvPicPr>
                  <pic:blipFill>
                    <a:blip r:embed="rId16"/>
                    <a:stretch>
                      <a:fillRect/>
                    </a:stretch>
                  </pic:blipFill>
                  <pic:spPr>
                    <a:xfrm>
                      <a:off x="0" y="0"/>
                      <a:ext cx="5486400" cy="3853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6314907, E 550577 i SWEREF 99 TM.</w:t>
      </w:r>
    </w:p>
    <w:p>
      <w:r>
        <w:rPr>
          <w:b/>
        </w:rPr>
        <w:t xml:space="preserve">Ögonvaxskivling (NT) </w:t>
      </w:r>
      <w:r>
        <w:t>växer i torr ängs- och naturbetesmark men sällsynt även på mullrik lera i ädellövskog. Det främsta hotet är att örtrika betesmarker överges och får växa igen. Även gödsling kan förstöra lokalerna och skogslokaler kan utplånas genom avverkning. Samtliga lokaler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