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1574-2025 i Uppvidinge kommun</w:t>
      </w:r>
    </w:p>
    <w:p>
      <w:r>
        <w:t>Detta klagomål behandlar höga naturvärden i samrådsanmälan S 1574-2025 i Uppvidinge kommun som inkom 2025-05-19 och omfattar 473,1 ha.</w:t>
      </w:r>
    </w:p>
    <w:p>
      <w:pPr>
        <w:pStyle w:val="Caption"/>
      </w:pPr>
      <w:r>
        <w:drawing>
          <wp:inline xmlns:a="http://schemas.openxmlformats.org/drawingml/2006/main" xmlns:pic="http://schemas.openxmlformats.org/drawingml/2006/picture">
            <wp:extent cx="4162194" cy="5724000"/>
            <wp:docPr id="1" name="Picture 1"/>
            <wp:cNvGraphicFramePr>
              <a:graphicFrameLocks noChangeAspect="1"/>
            </wp:cNvGraphicFramePr>
            <a:graphic>
              <a:graphicData uri="http://schemas.openxmlformats.org/drawingml/2006/picture">
                <pic:pic>
                  <pic:nvPicPr>
                    <pic:cNvPr id="0" name="S 1574-2025 karta.png"/>
                    <pic:cNvPicPr/>
                  </pic:nvPicPr>
                  <pic:blipFill>
                    <a:blip r:embed="rId16"/>
                    <a:stretch>
                      <a:fillRect/>
                    </a:stretch>
                  </pic:blipFill>
                  <pic:spPr>
                    <a:xfrm>
                      <a:off x="0" y="0"/>
                      <a:ext cx="4162194"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6328583, E 524766 i SWEREF 99 TM.</w:t>
      </w:r>
    </w:p>
    <w:p>
      <w:r>
        <w:t>I och inom 25 meter från samrådsanmälan finns fynd av 11 naturvårdsarter, varav 6 är rödlistade, 2 är fridlysta, 2 är typiska (T) och 3 är signalarter (S): igelkott (VU), skogshare (NT), solvända (NT), stor hagfibbla (NT), svinrot (NT), älg (NT), robust tickgnagare (S), stekelbock (S, T), tvåtandad aspborre (S), tjäder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Robust tickgnagare</w:t>
      </w:r>
      <w:r>
        <w:rPr>
          <w:b/>
          <w:i/>
        </w:rPr>
        <w:t xml:space="preserve"> </w:t>
      </w:r>
      <w:r>
        <w:t>är en skalbagge vars larvutveckling sker i fruktkroppar av fnöskticka, främst på björk. Arten missgynnas av brist på kontinuitetsskog och det föreligger indikation på eller misstanke om populationsminskning (SLU Artdatabanken, 2025).</w:t>
      </w:r>
    </w:p>
    <w:p>
      <w:r>
        <w:rPr>
          <w:b/>
        </w:rPr>
        <w:t>Stekelbock</w:t>
      </w:r>
      <w:r>
        <w:t xml:space="preserve"> är knuten till äldre och gärna glesa lövskogar, och gynnas starkt av skogsbrand. Skalbaggens larvutveckling sker i ganska hård, solexponerad död ved i stående stammar av lövträd, främst björk, asp och al. Fullbildade individer påträffas i juni-augusti på lämplig ved eller i blommor av t.ex. strätta, fläder eller älggräs. Stekelbock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11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