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35200-2021 i Uppvidinge kommun</w:t>
      </w:r>
    </w:p>
    <w:p>
      <w:r>
        <w:t>Denna tillsynsbegäran behandlar höga naturvärden i avverkningsanmälan A 35200-2021 i Uppvidinge kommun som inkom 2021-07-07 och omfattar 5,5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28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5200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8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6308982, E 537324 i SWEREF 99 TM.</w:t>
      </w:r>
    </w:p>
    <w:p>
      <w:r>
        <w:t>I avverkningsanmälan finns fynd av 2 naturvårdsarter, varav 1 är fridlyst, 1 är typisk (T) och 1 är signalart (S): vanlig flatbagge (S, T) och kungsfågel (§4).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Vanlig flatbagge</w:t>
      </w:r>
      <w:r>
        <w:t xml:space="preserve"> är en skalbagge vars larvutveckling sker i brunrötad ved av tall och gran, i mindre omfattning lövträd som al, asp och björk. Främst i lågor med klibbticka, timmerticka eller citronticka. Vanlig flatbagge är typisk art för </w:t>
      </w:r>
      <w:r>
        <w:rPr>
          <w:i/>
        </w:rPr>
        <w:t xml:space="preserve">9060 Åsbarrskog </w:t>
      </w:r>
      <w:r>
        <w:t>(SLU Artdatabanken, 2025).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2026-07-01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