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26449-2026 i Uppvidinge kommun</w:t>
      </w:r>
    </w:p>
    <w:p>
      <w:r>
        <w:t>Denna tillsynsbegäran behandlar höga naturvärden i avverkningsanmälan A 26449-2026 i Uppvidinge kommun som inkom 2026-06-10 och omfattar 1,4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6449-2026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6314190, E 547815 i SWEREF 99 TM.</w:t>
      </w:r>
    </w:p>
    <w:p>
      <w:r>
        <w:t>I och inom 25 meter från avverkningsanmälan finns fynd av 11 naturvårdsarter, varav 8 är rödlistade, 2 är fridlysta, 5 är typiska (T) och 2 är signalarter (S): knärot (VU, T, §8), dropptaggsvamp (NT, T), fjällig taggsvamp s.str. (NT), orange taggsvamp (NT, T), persiljespindling (NT), skarp dropptaggsvamp (NT), såpfingersvamp (NT), tjockfotad fingersvamp (NT), blomkålssvamp (S), grönpyrola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3825397"/>
            <wp:docPr id="2" name="Picture 2"/>
            <wp:cNvGraphicFramePr>
              <a:graphicFrameLocks noChangeAspect="1"/>
            </wp:cNvGraphicFramePr>
            <a:graphic>
              <a:graphicData uri="http://schemas.openxmlformats.org/drawingml/2006/picture">
                <pic:pic>
                  <pic:nvPicPr>
                    <pic:cNvPr id="0" name="A 26449-2026 karta knärot.png"/>
                    <pic:cNvPicPr/>
                  </pic:nvPicPr>
                  <pic:blipFill>
                    <a:blip r:embed="rId17"/>
                    <a:stretch>
                      <a:fillRect/>
                    </a:stretch>
                  </pic:blipFill>
                  <pic:spPr>
                    <a:xfrm>
                      <a:off x="0" y="0"/>
                      <a:ext cx="5486400" cy="38253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6314190, E 547815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Såpfingersvamp (NT) </w:t>
      </w:r>
      <w:r>
        <w:t>är en sällsynt ”toppart” som bildar mykorrhiza med gran i kalkbarrskog, sällsynt även med ek, hassel och bok i kalkrik ädellövskog. Status i landet något oklar men eftersökt och uppenbarligen mycket ovanlig och med liten förekomstarea. All form av skogsavverkning i eller i närheten av växtplatsen som kan påverka lokalens mikroklimat utgör ett hot. Växtplatserna bör skyddas och arten bör eftersökas på nya lokaler i såväl kalkgranskogar som rika ädellövskogar i södra Sverige. Såpfingersvamp är placerad högst upp i Skogsstyrelsens värdepyramid för bedömning av skog med höga naturvärden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