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1323-2026 i Uppvidinge kommun</w:t>
      </w:r>
    </w:p>
    <w:p>
      <w:r>
        <w:t>Detta klagomål behandlar höga naturvärden i samrådsanmälan S 1323-2026 i Uppvidinge kommun som inkom 2026-05-07 och omfattar 5,7 ha.</w:t>
      </w:r>
    </w:p>
    <w:p>
      <w:pPr>
        <w:pStyle w:val="Caption"/>
      </w:pPr>
      <w:r>
        <w:drawing>
          <wp:inline xmlns:a="http://schemas.openxmlformats.org/drawingml/2006/main" xmlns:pic="http://schemas.openxmlformats.org/drawingml/2006/picture">
            <wp:extent cx="5486400" cy="5113845"/>
            <wp:docPr id="1" name="Picture 1"/>
            <wp:cNvGraphicFramePr>
              <a:graphicFrameLocks noChangeAspect="1"/>
            </wp:cNvGraphicFramePr>
            <a:graphic>
              <a:graphicData uri="http://schemas.openxmlformats.org/drawingml/2006/picture">
                <pic:pic>
                  <pic:nvPicPr>
                    <pic:cNvPr id="0" name="S 1323-2026 karta.png"/>
                    <pic:cNvPicPr/>
                  </pic:nvPicPr>
                  <pic:blipFill>
                    <a:blip r:embed="rId16"/>
                    <a:stretch>
                      <a:fillRect/>
                    </a:stretch>
                  </pic:blipFill>
                  <pic:spPr>
                    <a:xfrm>
                      <a:off x="0" y="0"/>
                      <a:ext cx="5486400" cy="5113845"/>
                    </a:xfrm>
                    <a:prstGeom prst="rect"/>
                  </pic:spPr>
                </pic:pic>
              </a:graphicData>
            </a:graphic>
          </wp:inline>
        </w:drawing>
      </w:r>
    </w:p>
    <w:p>
      <w:pPr>
        <w:pStyle w:val="Caption"/>
        <w:spacing w:after="240"/>
      </w:pPr>
      <w:r>
        <w:t>Figur 1. Fyndplatser för naturvårdsarter i och inom 20 meter från samrådsanmälan. Markörer utan svart kant är placerade på fyndplatsen. Markörer med svart kant är placerade vid sidan av fyndplatsen och har ett svart streck som visar fyndplatsens exakta position. Kartans mittpunktskoordinat är N 6319905, E 533818 i SWEREF 99 TM.</w:t>
      </w:r>
    </w:p>
    <w:p>
      <w:r>
        <w:t>I och inom 20 meter från samrådsanmälan finns fynd av 10 naturvårdsarter, varav 6 är rödlistade, 1 är fridlyst, 5 är typiska (T) och 4 är signalarter (S): bitter taggsvamp (EN), knärot (VU, T, §8), skrovlig taggsvamp (VU), dropptaggsvamp (NT, T), orange taggsvamp (NT, T), tjockfotad fingersvamp (NT), blomkålssvamp (S), bronshjon (S, T), grönpyrola (S, T) och thomsons trägnagare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 xml:space="preserve">Bitter taggsvamp (EN) </w:t>
      </w:r>
      <w:r>
        <w:t>är en sällsynt och starkt hotad ”toppart” som bildar mykorrhiza med gran, möjligen även med tall, i äldre barrskogar med lång kontinuitet. Förekommer på kalkrik eller annan basiskt påverkad mark, främst i miljöer med hög luftfuktighet. Svampen har i friskt tillstånd en säregen doft av bittermandelolja och fruktköttet är mycket bittert i smaken. Arten hotas främst av avverkning och tål inte en slutavverkning utan kräver ett kontinuerligt äldre trädskikt med gran. Äldre barrskogar med basisk påverkan och lång kontinuitet, även små områden, har ett mycket högt skyddsvärde och bör i största möjliga utsträckning undantas från trakthyggesbruk. Slutavverkning, kraftig gallring och skogsmarksgödsling måste helt undvikas, liksom körning med tunga maskiner. Lokalerna bör skyddas formellt. Bitter taggsvamp ingår i ett åtgärdsprogram för hotade arter (ÅGP) och är placerad högst upp i Skogsstyrelsens värdepyramid för bedömning av skog med höga naturvärden (SLU Artdatabanken, 2026; Nitare &amp; Skogsstyrelsen, 2019; Nitare 2006).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3 fyndplatser för knärot registrerade på Artportalen. Figur 2 visar gränserna för buffertzoner på 50 m, som behöver lämnas kring fyndplatserna för att knärotslokalerna inte ska försvinna vid en avverkning. Av det samrådsanmälda området överlappar 0.57 ha med buffertzonerna och får av detta skäl inte avverkas.</w:t>
      </w:r>
    </w:p>
    <w:p>
      <w:pPr>
        <w:pStyle w:val="Caption"/>
      </w:pPr>
      <w:r>
        <w:drawing>
          <wp:inline xmlns:a="http://schemas.openxmlformats.org/drawingml/2006/main" xmlns:pic="http://schemas.openxmlformats.org/drawingml/2006/picture">
            <wp:extent cx="5486400" cy="6770748"/>
            <wp:docPr id="2" name="Picture 2"/>
            <wp:cNvGraphicFramePr>
              <a:graphicFrameLocks noChangeAspect="1"/>
            </wp:cNvGraphicFramePr>
            <a:graphic>
              <a:graphicData uri="http://schemas.openxmlformats.org/drawingml/2006/picture">
                <pic:pic>
                  <pic:nvPicPr>
                    <pic:cNvPr id="0" name="S 1323-2026 karta knärot.png"/>
                    <pic:cNvPicPr/>
                  </pic:nvPicPr>
                  <pic:blipFill>
                    <a:blip r:embed="rId17"/>
                    <a:stretch>
                      <a:fillRect/>
                    </a:stretch>
                  </pic:blipFill>
                  <pic:spPr>
                    <a:xfrm>
                      <a:off x="0" y="0"/>
                      <a:ext cx="5486400" cy="6770748"/>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6319905, E 533818 i SWEREF 99 TM.</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Tjockfotad fingersvamp (NT) </w:t>
      </w:r>
      <w:r>
        <w:t>bildar mykorrhiza med gran, eventuellt även med tall, i örtrika kalkbarrskogar, samt med bok och ek i ädellövskog på kalkrik mark. Den totala populationen i landet bedöms ha minskat under de senaste 50 åren och förväntas fortsätta minska, främst på grund av slutavverkning av äldre barrskog. Minskningstakten för den svenska populationen bedöms vara nära gränsvärdet för sårbar (VU). Slutavverkning, gödsling eller exploatering måste undvikas (SLU Artdatabanken, 2026).</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10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