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617-2023 i Uppvidinge kommun</w:t>
      </w:r>
    </w:p>
    <w:p>
      <w:r>
        <w:t>Detta klagomål behandlar höga naturvärden i samrådsanmälan S 617-2023 i Uppvidinge kommun som inkom 2023-02-15 och omfattar 493,3 ha.</w:t>
      </w:r>
    </w:p>
    <w:p>
      <w:pPr>
        <w:pStyle w:val="Caption"/>
      </w:pPr>
      <w:r>
        <w:drawing>
          <wp:inline xmlns:a="http://schemas.openxmlformats.org/drawingml/2006/main" xmlns:pic="http://schemas.openxmlformats.org/drawingml/2006/picture">
            <wp:extent cx="5486400" cy="3574644"/>
            <wp:docPr id="1" name="Picture 1"/>
            <wp:cNvGraphicFramePr>
              <a:graphicFrameLocks noChangeAspect="1"/>
            </wp:cNvGraphicFramePr>
            <a:graphic>
              <a:graphicData uri="http://schemas.openxmlformats.org/drawingml/2006/picture">
                <pic:pic>
                  <pic:nvPicPr>
                    <pic:cNvPr id="0" name="S 617-2023 karta.png"/>
                    <pic:cNvPicPr/>
                  </pic:nvPicPr>
                  <pic:blipFill>
                    <a:blip r:embed="rId16"/>
                    <a:stretch>
                      <a:fillRect/>
                    </a:stretch>
                  </pic:blipFill>
                  <pic:spPr>
                    <a:xfrm>
                      <a:off x="0" y="0"/>
                      <a:ext cx="5486400" cy="3574644"/>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6315673, E 526531 i SWEREF 99 TM.</w:t>
      </w:r>
    </w:p>
    <w:p>
      <w:r>
        <w:t>I och inom 24 meter från samrådsanmälan finns fynd av 28 naturvårdsarter, varav 12 är rödlistade, 10 är fridlysta, 11 är typiska (T) och 8 är signalarter (S): backmåra (NT), brödmärgsticka (NT, T), ekticka (NT, T), gullpudra (NT, T), kattfotslav (NT, T), kungsfiskare (NT, §4), rosenporing (NT), rutskinn (NT, T), skogshare (NT), spindelört (NT), stäppröksvamp (NT), älg (NT), björksplintborre (S), bronshjon (S, T), hasselsopp (S), honungsvaxing (S), kantarellvaxing (S), korallrot (S, T, §8), småskölding (S), vågbandad barkbock (S), blåsippa (T, §9), spillkråka (T, §4), tallbit (T, §4), tjäder (T, §4), havsörn (§4), orre (§4), vanlig snok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Brödmärgsticka (NT)</w:t>
      </w:r>
      <w:r>
        <w:t xml:space="preserve"> är en nedbrytare i barklösa stubbar och lågor av ek, mer sällan levande träd i löv- och blandskog samt hagmark, mycket sällsynt även på andra trädslag. Total population i landet liten och med få träd på varje lokal. Arten hotas av avverkning av värdträd, eventuell stubbrytning och avlägsnande av grov fallen ekved. För artens fortbestånd på sikt måste olikåldriga bestånd av ek bevaras i tillräcklig utsträckning. Brödmärgsticka är typisk art för </w:t>
      </w:r>
      <w:r>
        <w:rPr>
          <w:i/>
        </w:rPr>
        <w:t xml:space="preserve">9020 Nordlig ädellövskog </w:t>
      </w:r>
      <w:r>
        <w:t xml:space="preserve">och </w:t>
      </w:r>
      <w:r>
        <w:rPr>
          <w:i/>
        </w:rPr>
        <w:t>9160 Näringsrik ekskog</w:t>
      </w:r>
      <w:r>
        <w:t xml:space="preserve"> samt globalt rödlistad som nära hotad (NT) vilket innebär att Sverige har ett internationellt ansvar för arten</w:t>
      </w:r>
      <w:r>
        <w:rPr>
          <w:i/>
        </w:rPr>
        <w:t xml:space="preserve"> </w:t>
      </w:r>
      <w:r>
        <w:t>(SLU Artdatabanken, 2025; IUCN,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Rosenporing (NT) </w:t>
      </w:r>
      <w:r>
        <w:t>är en nedbrytare på stammar och grenar samt murken ved av olika lövträdslag i ädellövskog, blandskog och park, företrädesvis grova äldre träd i rika lövskogsmiljöer. Skogar där arten förekommer har i regel höga naturvärden och rosenporingen är en god indikator på detta värde. Arten hotas av bristen på grova lövträdslågor. Avverkning av lövskog samt överdriven städning av lövbestånd och naturparker kan vara ett annat hot. Områden där rosenporing förekommer bör inte utnyttjas för skogsbruk (SLU Artdatabanken, 2025).</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28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