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18960-2021 i Lessebo kommun</w:t>
      </w:r>
    </w:p>
    <w:p>
      <w:r>
        <w:t>Detta dokument behandlar höga naturvärden i avverkningsanmälan A 18960-2021 i Lessebo kommun. Denna avverkningsanmälan inkom 2021-04-22 00:00:00 och omfattar 3,9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16 naturvårdsarter hittats: barbastell (NT, §4a), dammfladdermus (NT, §4a), duvhök (NT, §4), entita (NT, §4), kråka (NT, §4), mindre bastardsvärmare (NT), mindre hackspett (NT, §4), nordfladdermus (NT, §4a), svartvit flugsnappare (NT, §4), talltita (NT, §4), grönpyrola (S), dvärgpipistrell (§4a), nattskärra (§4), större brunfladdermus (§4a), vattenfladdermus (§4a) och skogsödla (§6).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93528"/>
            <wp:docPr id="1" name="Picture 1"/>
            <wp:cNvGraphicFramePr>
              <a:graphicFrameLocks noChangeAspect="1"/>
            </wp:cNvGraphicFramePr>
            <a:graphic>
              <a:graphicData uri="http://schemas.openxmlformats.org/drawingml/2006/picture">
                <pic:pic>
                  <pic:nvPicPr>
                    <pic:cNvPr id="0" name="A 18960-2021 karta.png"/>
                    <pic:cNvPicPr/>
                  </pic:nvPicPr>
                  <pic:blipFill>
                    <a:blip r:embed="rId16"/>
                    <a:stretch>
                      <a:fillRect/>
                    </a:stretch>
                  </pic:blipFill>
                  <pic:spPr>
                    <a:xfrm>
                      <a:off x="0" y="0"/>
                      <a:ext cx="5486400" cy="34935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6280697, E 521986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Fridlysta arter</w:t>
      </w:r>
    </w:p>
    <w:p>
      <w:r>
        <w:t>Följande fridlysta arter har sina livsmiljöer och växtplatser i den avverkningsanmälda skogen: barbastell (NT, §4a), dammfladdermus (NT, §4a), duvhök (NT, §4), entita (NT, §4), kråka (NT, §4), mindre hackspett (NT, §4), nordfladdermus (NT, §4a), svartvit flugsnappare (NT, §4), talltita (NT, §4), dvärgpipistrell (§4a), nattskärra (§4), större brunfladdermus (§4a), vattenfladdermus (§4a) och skogsödla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Dammfladdermus (NT, §4a)</w:t>
      </w:r>
      <w:r>
        <w:t xml:space="preserve"> omfattas av bilaga 2 och 4 EU:s art- och habitatdirektiv vilket innebär att arten och dess livsmiljöer är strikt skyddade samt att Natura 2000-områden ska inrättas. Dammfladdermus är globalt rödlistad som nära hotad (NT) och i den europeiska rödlistan är den klassad som sårbar (VU). För dammfladdermusen är det särskilt viktigt att värna om strandnära områden, genom att bevara eller skapa sumpskog och hålträd (SLU Artdatabanken, 2024; IUCN, 2016).</w:t>
      </w:r>
    </w:p>
    <w:p>
      <w:r>
        <w:rPr>
          <w:b/>
        </w:rPr>
        <w:t>Duvhök (NT, §4)</w:t>
      </w:r>
      <w:r>
        <w:t>, som är rödlistad som nära hotad (NT), har minskat med 22 (0–48)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2021;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 https://www.naturvardsverket.se/om-oss/publikationer/6500/atgardsprogram-barbastell</w:t>
      </w:r>
    </w:p>
    <w:p>
      <w:r>
        <w:t xml:space="preserve">SLU Artdatabanken, 2024. </w:t>
      </w:r>
      <w:r>
        <w:rPr>
          <w:i/>
        </w:rPr>
        <w:t xml:space="preserve">Artfakta: barbastell (Barbastella barbastellus). </w:t>
      </w:r>
      <w:r>
        <w:t>https://artfakta.se/taxa/100015</w:t>
      </w:r>
    </w:p>
    <w:p>
      <w:pPr>
        <w:pStyle w:val="Heading1"/>
      </w:pPr>
      <w:r>
        <w:t>Dammfladdermus – ekologi samt krav på livsmiljön</w:t>
      </w:r>
    </w:p>
    <w:p>
      <w:r>
        <w:t>Dammfladdermus (NT, §4a) omfattas av bilaga 2 och 4 EU:s art- och habitatdirektiv vilket innebär att arten och dess livsmiljöer är strikt skyddade samt att Natura 2000-områden ska inrättas. Dammfladdermus är globalt rödlistad som nära hotad (NT) och i den europeiska rödlistan är den klassad som sårbar (VU) (SLU Artdatabanken, 2024; IUCN, 2016).</w:t>
      </w:r>
    </w:p>
    <w:p>
      <w:r>
        <w:t>Dammfladdermusen förekommer mest vid vatten, vid både sjöar och vattendrag. Den födosöker antingen tätt ovanför vattenytan eller i strandskog. Dammfladdermusen väljer lite större vatten än vattenfladdermusen, till exempel sjöar och breda åar. Den undviker stora sammanhängande öppna miljöer såsom åkrar och hyggen. Eftersom dammfladdermusen i huvudsak jagar över sjöar och vattendrag så är det framförallt vattenkvalité och utformningen av strandnära miljöer som påverkar artens förekomst. För dammfladdermusen är det särskilt viktigt att värna om strandnära områden, genom att bevara eller skapa sumpskog och hålträd (SLU Artdatabanken, 2024).</w:t>
      </w:r>
    </w:p>
    <w:p>
      <w:pPr>
        <w:pStyle w:val="Heading2"/>
      </w:pPr>
      <w:r>
        <w:t>Referenser – dammfladdermus</w:t>
      </w:r>
    </w:p>
    <w:p>
      <w:r>
        <w:t xml:space="preserve">IUCN, 2016. </w:t>
      </w:r>
      <w:r>
        <w:rPr>
          <w:i/>
        </w:rPr>
        <w:t>Myotis dasycneme</w:t>
      </w:r>
      <w:r>
        <w:t>. The IUCN Red List of Threatened Species.</w:t>
      </w:r>
    </w:p>
    <w:p>
      <w:r>
        <w:t>SLU Artdatabanken, 2024.</w:t>
      </w:r>
      <w:r>
        <w:rPr>
          <w:i/>
        </w:rPr>
        <w:t xml:space="preserve"> Artfakta: dammfladdermus (Myotis dasycneme)</w:t>
      </w:r>
      <w:r>
        <w:t>. https://artfakta.se/taxa/100086</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