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558-2024 i Lessebo kommun</w:t>
      </w:r>
    </w:p>
    <w:p>
      <w:r>
        <w:t>Detta klagomål behandlar höga naturvärden i samrådsanmälan S 558-2024 i Lessebo kommun som inkom 2024-02-27 och omfattar 7,8 ha.</w:t>
      </w:r>
    </w:p>
    <w:p>
      <w:pPr>
        <w:pStyle w:val="Caption"/>
      </w:pPr>
      <w:r>
        <w:drawing>
          <wp:inline xmlns:a="http://schemas.openxmlformats.org/drawingml/2006/main" xmlns:pic="http://schemas.openxmlformats.org/drawingml/2006/picture">
            <wp:extent cx="5206676" cy="5724000"/>
            <wp:docPr id="1" name="Picture 1"/>
            <wp:cNvGraphicFramePr>
              <a:graphicFrameLocks noChangeAspect="1"/>
            </wp:cNvGraphicFramePr>
            <a:graphic>
              <a:graphicData uri="http://schemas.openxmlformats.org/drawingml/2006/picture">
                <pic:pic>
                  <pic:nvPicPr>
                    <pic:cNvPr id="0" name="S 558-2024 karta.png"/>
                    <pic:cNvPicPr/>
                  </pic:nvPicPr>
                  <pic:blipFill>
                    <a:blip r:embed="rId16"/>
                    <a:stretch>
                      <a:fillRect/>
                    </a:stretch>
                  </pic:blipFill>
                  <pic:spPr>
                    <a:xfrm>
                      <a:off x="0" y="0"/>
                      <a:ext cx="520667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6292198, E 507322 i SWEREF 99 TM.</w:t>
      </w:r>
    </w:p>
    <w:p>
      <w:r>
        <w:t>I samrådsanmälan finns fynd av 9 naturvårdsarter, varav 4 är rödlistade, 1 är fridlyst, 2 är typiska (T) och 5 är signalarter (S): ask (EN), läderbagge (VU, §4a), kardinalrödrock (NT), Thamiaraea hospita (NT), avlång flatbagge (S), Dorcatoma chrysomelina (S), guldlockmossa (S, T), noshornsoxe (S)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Kardinalrödrock (NT) </w:t>
      </w:r>
      <w:r>
        <w:t>är en knäppare vars larvutveckling sker i tämligen fast och torr, brunrötad ved av lövträd, främst i grova, ihåliga, stående ekar med svavelticka, även i bok, ask och lind. Ekbestånd som innehåller grova, rötskadade träd bör lämnas. Arten är värmekrävande, varför röjning runt gamla ekar på vissa lokaler för att öka solinstrålningen är gynnsam. En långsiktig planering för att rekrytera ekar ur yngre generationer till att bli framtida hålekar på en del av lokalerna är också av stor vikt. Kardinalrödrock är globalt rödlistad som nära hotad (NT) vilket innebär att Sverige har ett internationellt ansvar för arten (SLU Artdatabanken, 2026; IUCN, 2023).</w:t>
      </w:r>
    </w:p>
    <w:p>
      <w:r>
        <w:rPr>
          <w:b/>
          <w:i/>
        </w:rPr>
        <w:t xml:space="preserve">Thamiaraea hospita </w:t>
      </w:r>
      <w:r>
        <w:rPr>
          <w:b/>
        </w:rPr>
        <w:t>(NT)</w:t>
      </w:r>
      <w:r>
        <w:t xml:space="preserve"> är en kortvinge som lever i anslutning till savflöden eller i larvgångar av t.ex. träfjäril på gamla lövträd, främst ek. Förmodligen livnär sig larverna på fluglarver i den utflytande saven. De fullbildade skalbaggarna sitter ofta tillsammans inkrupna under barkflagor eller inne i larvgångar vid savflöden vid basen på träd. Fullvuxna individer påträffas främst från juni till augusti. Arten hotas framför allt av att gamla savande träd gallras ofta ut ur alléer, parker och kyrkogårdar med motiveringen att de anses som farliga trots att de kan sava under många decennier utan att vara rötskadade i någon större omfattning. Man bör undvika att avverka gamla savande träd och försöka spara dem så länge som möjligt (SLU Artdatabanken, 2025).</w:t>
      </w:r>
    </w:p>
    <w:p>
      <w:r>
        <w:rPr>
          <w:b/>
        </w:rPr>
        <w:t xml:space="preserve">Avlång flatbagge </w:t>
      </w:r>
      <w:r>
        <w:t>är en skalbagge vars larvutveckling sker i vitrötad, mycelhaltig ved av flera trädslag, främst ek, bok, alm, lind, asp och ask, men även tall. Gärna under tjock skorpbark som sitter kvar länge, såsom på gamla ek- och tallstammar. Den förekommer främst i äldre skogsområden med naturskogskaraktär eller kulturmarker med hög andel gamla träd, t.ex. hagmarker med grova ekar. Arten påverkas negativt av brist på kontinuitetsskog och en minskning av populationen pågår eller förväntas ske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