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10361-2023 i Tingsryds kommun</w:t>
      </w:r>
    </w:p>
    <w:p>
      <w:r>
        <w:t>Detta dokument behandlar höga naturvärden i avverkningsanmälan A 10361-2023 i Tingsryds kommun som inkom 2023-02-23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15 meter från avverkningsanmälan har följande 13 naturvårdsarter hittats: barbastell (NT, §4a), brunlångöra (NT, §4a), kandelabersvamp (NT, T), nordfladdermus (NT, §4a), stor tratticka (NT), veckticka (NT, T), blanksvart trämyra (S), rostfläck (S, T), västlig hakmossa (S), dvärgpipistrell (§4a), gråskimlig fladdermus (§4a), större brunfladdermus (§4a) och vattenfladdermus (§4a). Av dessa är 6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379292" cy="5688000"/>
            <wp:docPr id="1" name="Picture 1"/>
            <wp:cNvGraphicFramePr>
              <a:graphicFrameLocks noChangeAspect="1"/>
            </wp:cNvGraphicFramePr>
            <a:graphic>
              <a:graphicData uri="http://schemas.openxmlformats.org/drawingml/2006/picture">
                <pic:pic>
                  <pic:nvPicPr>
                    <pic:cNvPr id="0" name="A 10361-2023 karta.png"/>
                    <pic:cNvPicPr/>
                  </pic:nvPicPr>
                  <pic:blipFill>
                    <a:blip r:embed="rId16"/>
                    <a:stretch>
                      <a:fillRect/>
                    </a:stretch>
                  </pic:blipFill>
                  <pic:spPr>
                    <a:xfrm>
                      <a:off x="0" y="0"/>
                      <a:ext cx="5379292" cy="5688000"/>
                    </a:xfrm>
                    <a:prstGeom prst="rect"/>
                  </pic:spPr>
                </pic:pic>
              </a:graphicData>
            </a:graphic>
          </wp:inline>
        </w:drawing>
      </w:r>
    </w:p>
    <w:p>
      <w:pPr>
        <w:pStyle w:val="Caption"/>
        <w:spacing w:after="240"/>
      </w:pPr>
      <w:r>
        <w:t>Figur 1. Fyndplatser för naturvårdsarter i och inom 15 meter från avverkningsanmälan (röd linje). Markörer utan svart kant är placerade på fyndplatsen. Markörer med svart kant är placerade vid sidan av fyndplatsen och har ett svart streck som visar fyndplatsens exakta position. Kartans mittpunktskoordinat är N 6271947, E 498190 i SWEREF 99 TM.</w:t>
      </w:r>
    </w:p>
    <w:p>
      <w:pPr>
        <w:pStyle w:val="Heading2"/>
      </w:pPr>
      <w:r>
        <w:t>Fridlysta arter</w:t>
      </w:r>
    </w:p>
    <w:p>
      <w:r>
        <w:t>Följande fridlysta arter har sina livsmiljöer och växtplatser i den avverkningsanmälda skogen: barbastell (NT, §4a), brunlångöra (NT, §4a), nordfladdermus (NT, §4a), dvärgpipistrell (§4a), gråskimlig fladdermus (§4a), större brunfladdermus (§4a) och vattenfladdermus (§4a).</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IUCN, 2016;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Gråskimlig fladdermus (§4a)</w:t>
      </w:r>
      <w:r>
        <w:t xml:space="preserve"> omfattas av bilaga 4 EU:s art- och habitatdirektiv vilket innebär ett strikt skydd där arten och dess livsmiljöer ska bevaras. Arten födosöker i halvöppna miljöer, t.ex. i glesa skogar, trädbärande betesmarker, brynmiljöer, parker och i anslutning till sjöar och vattendrag.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t>I BILAGA 1 finns mer detaljerad information om ekologi samt krav på livsmiljö hos fridlysta arter.</w:t>
      </w:r>
    </w:p>
    <w:p>
      <w:pPr>
        <w:pStyle w:val="Heading2"/>
      </w:pPr>
      <w:r>
        <w:t>Övriga naturvårdsarter</w:t>
      </w:r>
    </w:p>
    <w:p>
      <w:r>
        <w:rPr>
          <w:b/>
        </w:rPr>
        <w:t xml:space="preserve">Blanksvart trämyra </w:t>
      </w:r>
      <w:r>
        <w:t xml:space="preserve">förknippas framför allt med gamla träd, där den gnager ut den murkna veden och fyller hålrummen med sitt konstfulla bo. I och intill bon av blanksvart trämyra och i synnerhet brun trämyra kan flera sällsynta och rödlistade skalbaggar påträffas. Bland dessa kan nämnas knappstumpbagge (EN), </w:t>
      </w:r>
      <w:r>
        <w:rPr>
          <w:i/>
        </w:rPr>
        <w:t>Batrisodes adnexus</w:t>
      </w:r>
      <w:r>
        <w:t xml:space="preserve"> (VU), </w:t>
      </w:r>
      <w:r>
        <w:rPr>
          <w:i/>
        </w:rPr>
        <w:t>Batrisodes delaporti</w:t>
      </w:r>
      <w:r>
        <w:t xml:space="preserve"> (VU), </w:t>
      </w:r>
      <w:r>
        <w:rPr>
          <w:i/>
        </w:rPr>
        <w:t>Euryusa coarctata</w:t>
      </w:r>
      <w:r>
        <w:t xml:space="preserve"> (VU), </w:t>
      </w:r>
      <w:r>
        <w:rPr>
          <w:i/>
        </w:rPr>
        <w:t>Euryusa optabilis</w:t>
      </w:r>
      <w:r>
        <w:t xml:space="preserve"> (VU), </w:t>
      </w:r>
      <w:r>
        <w:rPr>
          <w:i/>
        </w:rPr>
        <w:t>Euryusa sinuata</w:t>
      </w:r>
      <w:r>
        <w:t xml:space="preserve"> (VU), </w:t>
      </w:r>
      <w:r>
        <w:rPr>
          <w:i/>
        </w:rPr>
        <w:t xml:space="preserve">Plectophloeus nitidus </w:t>
      </w:r>
      <w:r>
        <w:t xml:space="preserve">(VU), </w:t>
      </w:r>
      <w:r>
        <w:rPr>
          <w:i/>
        </w:rPr>
        <w:t xml:space="preserve">Scydmaenus perrisi </w:t>
      </w:r>
      <w:r>
        <w:t xml:space="preserve">(VU), </w:t>
      </w:r>
      <w:r>
        <w:rPr>
          <w:i/>
        </w:rPr>
        <w:t xml:space="preserve">Tachyusida gracilis </w:t>
      </w:r>
      <w:r>
        <w:t xml:space="preserve">(VU), </w:t>
      </w:r>
      <w:r>
        <w:rPr>
          <w:i/>
        </w:rPr>
        <w:t>Amphotis marginata</w:t>
      </w:r>
      <w:r>
        <w:t xml:space="preserve"> (NT), </w:t>
      </w:r>
      <w:r>
        <w:rPr>
          <w:i/>
        </w:rPr>
        <w:t>Cryptophagus fuscicornis</w:t>
      </w:r>
      <w:r>
        <w:t xml:space="preserve"> (NT) och </w:t>
      </w:r>
      <w:r>
        <w:rPr>
          <w:i/>
        </w:rPr>
        <w:t>Thiasophila inquilina</w:t>
      </w:r>
      <w:r>
        <w:t xml:space="preserve"> (NT) (SLU Artdatabanken, 2025).</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 xml:space="preserve">Stor tratticka (NT) </w:t>
      </w:r>
      <w:r>
        <w:t>är en nedbrytare i grova lågor och grenar, men även rötter och stubbar av alm, bok och sälg. Påträffas i alm- och bokskog och park, samt norrut i landet i blandad lövskog. En stor iögonfallande ticka med mycket liten population. Avverkning av äldre lövskog med stort inslag av död ved utgör det främsta hotet. Även missriktad städning och parkskötsel kan missgynna arten. För att klara artens överlevnad på sikt bör lövskog med stort inslag av äldre träd och död ved generellt undantas från skogsbruk och annan exploatering. Även små bestånd kan vara ytterst värdefulla för stor tratticka. Kända växtplatser måste skyddas (SLU Artdatabanken, 2026).</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IUCN, 2016;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w:t>
      </w:r>
    </w:p>
    <w:p>
      <w:r>
        <w:t xml:space="preserve">IUCN, 2016. </w:t>
      </w:r>
      <w:r>
        <w:rPr>
          <w:i/>
        </w:rPr>
        <w:t>Barbastella barbastellus</w:t>
      </w:r>
      <w:r>
        <w:t>. The IUCN Red List of Threatened Species.</w:t>
      </w:r>
    </w:p>
    <w:p>
      <w:r>
        <w:t xml:space="preserve">SLU Artdatabanken, 2024. </w:t>
      </w:r>
      <w:r>
        <w:rPr>
          <w:i/>
        </w:rPr>
        <w:t>Artfakta: barbastell (Barbastella barbastellus).</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