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28253-2026 i Tingsryds kommun</w:t>
      </w:r>
    </w:p>
    <w:p>
      <w:r>
        <w:t>Detta klagomål behandlar höga naturvärden i avverkningsanmälan A 28253-2026 i Tingsryds kommun som inkom 2026-06-23 och omfattar 0,6 ha.</w:t>
      </w:r>
    </w:p>
    <w:p>
      <w:pPr>
        <w:pStyle w:val="Caption"/>
      </w:pPr>
      <w:r>
        <w:drawing>
          <wp:inline xmlns:a="http://schemas.openxmlformats.org/drawingml/2006/main" xmlns:pic="http://schemas.openxmlformats.org/drawingml/2006/picture">
            <wp:extent cx="4400202" cy="5724000"/>
            <wp:docPr id="1" name="Picture 1"/>
            <wp:cNvGraphicFramePr>
              <a:graphicFrameLocks noChangeAspect="1"/>
            </wp:cNvGraphicFramePr>
            <a:graphic>
              <a:graphicData uri="http://schemas.openxmlformats.org/drawingml/2006/picture">
                <pic:pic>
                  <pic:nvPicPr>
                    <pic:cNvPr id="0" name="A 28253-2026 karta.png"/>
                    <pic:cNvPicPr/>
                  </pic:nvPicPr>
                  <pic:blipFill>
                    <a:blip r:embed="rId16"/>
                    <a:stretch>
                      <a:fillRect/>
                    </a:stretch>
                  </pic:blipFill>
                  <pic:spPr>
                    <a:xfrm>
                      <a:off x="0" y="0"/>
                      <a:ext cx="4400202" cy="5724000"/>
                    </a:xfrm>
                    <a:prstGeom prst="rect"/>
                  </pic:spPr>
                </pic:pic>
              </a:graphicData>
            </a:graphic>
          </wp:inline>
        </w:drawing>
      </w:r>
    </w:p>
    <w:p>
      <w:pPr>
        <w:pStyle w:val="Caption"/>
        <w:spacing w:after="240"/>
      </w:pPr>
      <w:r>
        <w:t>Figur 1. Fyndplatser för naturvårdsarter inom 13 meter från avverkningsanmälan. Markörer utan svart kant är placerade på fyndplatsen. Markörer med svart kant är placerade vid sidan av fyndplatsen och har ett svart streck som visar fyndplatsens exakta position. Kartans mittpunktskoordinat är N 6275422, E 512263 i SWEREF 99 TM.</w:t>
      </w:r>
    </w:p>
    <w:p>
      <w:r>
        <w:t>Inom 13 meter från avverkningsanmälan finns fynd av 5 naturvårdsarter, varav 2 är rödlistade och 5 är fridlysta: nordfladdermus (NT, §4a), sydfladdermus (NT, §4a), dvärgpipistrell (§4a), större brunfladdermus (§4a) och trollpipistrell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Sydfladdermus (NT, §4a)</w:t>
      </w:r>
      <w:r>
        <w:t xml:space="preserve"> omfattas av bilaga 4 EU:s art- och habitatdirektiv vilket innebär att arten och dess livsmiljöer är strikt skyddade. Den födosöker i halvöppna miljöer som glesa skogar, skogskanter, trädbärande betesmarker, gårdsmiljöer, bryn och parker och äter framförallt lite större byten av skalbaggar, nattfjärilar och myggor. Sydfladdermus hör till de arter som är mer utsatta för vindkraft på grund av sitt jaktbeteende där den under hösten ofta födosöker på hög höjd (SLU Artdatabanken, 2024).</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rPr>
          <w:b/>
        </w:rPr>
        <w:t>Större brunfladdermus (§4a)</w:t>
      </w:r>
      <w:r>
        <w:t xml:space="preserve"> omfattas av bilaga 4 EU:s art- och habitatdirektiv vilket innebär ett strikt skydd där arten och dess livsmiljöer ska bevaras. Den lever huvudsakligen i större skogsområden med gamla lövträdsbestånd, där den jagar i alla typer av öppna och halvöppna miljöer, ofta över stora sjöar och vattendrag, strandängar, betes- och slåttermarker. 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Gamla träd med grov bark, skador, håligheter eller döda delar bör lämnas och yngre träd (efterträdare) tillåtas finnas kvar och åldras för att säkra framtida förekomst av lämpliga yngelmiljöer. Övervintringsplatser måste skyddas effektivt från störningar (SLU Artdatabanken, 2024).</w:t>
      </w:r>
    </w:p>
    <w:p>
      <w:r>
        <w:rPr>
          <w:b/>
        </w:rPr>
        <w:t>Trollpipistrell (§4a)</w:t>
      </w:r>
      <w:r>
        <w:t xml:space="preserve"> omfattas av bilaga 4 EU:s art- och habitatdirektiv vilket innebär ett strikt skydd för arten och dess livsmiljöer. Trollpipistrell förekommer i gles barr- och lövskog, i trädbärande beteshagar, i kantzoner mellan skog och odlingsmark, i närheten av sjöar och vattendrag samt i bymiljöer. Den undviker stora öppna miljöer såsom åkrar och hyggen och gynnas av ett landskap med mycket lövträd, vatten och hålträd. Under året utnyttjas många olika miljöer och ett effektivt bevarandearbete måste därför utgå från ett landskapsekologiskt perspektiv. Ett varierat landskap med hög andel äldre lövträd, småvatten, sumpskogar, öppna våtmarker, ängar och betesmarker, är gynnsamt för insekter vilket skapar förutsättningar för fladdermöss att finna tillräckligt med föda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Sydfladdermus – ekologi samt krav på livsmiljön</w:t>
      </w:r>
    </w:p>
    <w:p>
      <w:r>
        <w:t>Sydfladdermus (NT, §4a) omfattas av bilaga 4 EU:s art- och habitatdirektiv vilket innebär att arten och dess livsmiljöer är strikt skyddade. Den födosöker i halvöppna miljöer som glesa skogar, skogskanter, trädbärande betesmarker, gårdsmiljöer, bryn och parker och äter framförallt lite större byten av skalbaggar, nattfjärilar och myggor. Gatlampor drar till sig mycket insekter och arten kan därför ses patrullera dessa på jakt efter föda. Sydfladdermus hör till de arter som är mer utsatta för vindkraft på grund av sitt jaktbeteende där den under hösten ofta födosöker på hög höjd (SLU Artdatabanken, 2024).</w:t>
      </w:r>
    </w:p>
    <w:p>
      <w:r>
        <w:t>Under året utnyttjar fladdermöss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(SLU Artdatabanken, 2024).</w:t>
      </w:r>
    </w:p>
    <w:p>
      <w:pPr>
        <w:pStyle w:val="Heading2"/>
      </w:pPr>
      <w:r>
        <w:t>Referenser – sydfladdermus</w:t>
      </w:r>
    </w:p>
    <w:p>
      <w:r>
        <w:t>SLU Artdatabanken, 2024.</w:t>
      </w:r>
      <w:r>
        <w:rPr>
          <w:i/>
        </w:rPr>
        <w:t xml:space="preserve"> Artfakta: sydfladdermus (Eptesicus serotinus)</w:t>
      </w:r>
      <w:r>
        <w:t>. https://artfakta.se/taxa/100051</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