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Inom 23 meter från avverkningsanmälan finns fynd av 2 naturvårdsarter, varav 1 är rödlistad, 1 är typisk (T) och 1 är signalart (S): vedtrappmossa (NT,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