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126-2026 i Alvesta kommun</w:t>
      </w:r>
    </w:p>
    <w:p>
      <w:r>
        <w:t>Detta klagomål behandlar höga naturvärden i samrådsanmälan S 126-2026 i Alvesta kommun som inkom 2026-01-19 och omfattar 7,5 ha.</w:t>
      </w:r>
    </w:p>
    <w:p>
      <w:pPr>
        <w:pStyle w:val="Caption"/>
      </w:pPr>
      <w:r>
        <w:drawing>
          <wp:inline xmlns:a="http://schemas.openxmlformats.org/drawingml/2006/main" xmlns:pic="http://schemas.openxmlformats.org/drawingml/2006/picture">
            <wp:extent cx="5486400" cy="4916977"/>
            <wp:docPr id="1" name="Picture 1"/>
            <wp:cNvGraphicFramePr>
              <a:graphicFrameLocks noChangeAspect="1"/>
            </wp:cNvGraphicFramePr>
            <a:graphic>
              <a:graphicData uri="http://schemas.openxmlformats.org/drawingml/2006/picture">
                <pic:pic>
                  <pic:nvPicPr>
                    <pic:cNvPr id="0" name="S 126-2026 karta.png"/>
                    <pic:cNvPicPr/>
                  </pic:nvPicPr>
                  <pic:blipFill>
                    <a:blip r:embed="rId16"/>
                    <a:stretch>
                      <a:fillRect/>
                    </a:stretch>
                  </pic:blipFill>
                  <pic:spPr>
                    <a:xfrm>
                      <a:off x="0" y="0"/>
                      <a:ext cx="5486400" cy="4916977"/>
                    </a:xfrm>
                    <a:prstGeom prst="rect"/>
                  </pic:spPr>
                </pic:pic>
              </a:graphicData>
            </a:graphic>
          </wp:inline>
        </w:drawing>
      </w:r>
    </w:p>
    <w:p>
      <w:pPr>
        <w:pStyle w:val="Caption"/>
        <w:spacing w:after="240"/>
      </w:pPr>
      <w:r>
        <w:t>Figur 1. Fyndplatser för naturvårdsarter i och inom 21 meter från samrådsanmälan. Markörer utan svart kant är placerade på fyndplatsen. Markörer med svart kant är placerade vid sidan av fyndplatsen och har ett svart streck som visar fyndplatsens exakta position. Kartans mittpunktskoordinat är N 6287251, E 477075 i SWEREF 99 TM.</w:t>
      </w:r>
    </w:p>
    <w:p>
      <w:r>
        <w:t>I och inom 21 meter från samrådsanmälan finns fynd av 17 naturvårdsarter, varav 10 är rödlistade, 8 är typiska (T) och 7 är signalarter (S): ask (EN), savlundlav (EN), skogsalm (EN), gulvit blekspik (VU, T), klosterlav (VU), rosa lundlav (VU, T), dvärgbägarlav (NT, T), liten sönderfallslav (NT), parknål (NT), puderfläck (NT), fällmossa (S, T), gulnål (S, T), gulpudrad spiklav (S, T), kornig nållav (S, T), lindskål (S), lönnlav (S) och rostfläck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Savlundlav (EN)</w:t>
      </w:r>
      <w:r>
        <w:t xml:space="preserve"> är en starkt hotad art som oftast växer vid savflöden på ädellövträd, oftast på gamla bokar och almar men ibland även på lönn och rönn. Arten hotas framför allt av att lokaler med lång kontinuitet försvinner genom aktivt skogsbruk och att gamla ädellövträd i öppna miljöer, speciellt almar i alléer, ofta byts ut. Skydda de rikligaste lokalerna och undvik produktionsinriktat skogsbruk på och omkring lokaler med arten (SLU Artdatabanken, 2025).</w:t>
      </w:r>
    </w:p>
    <w:p>
      <w:r>
        <w:rPr>
          <w:b/>
        </w:rPr>
        <w:t>Gulvit blekspik (VU)</w:t>
      </w:r>
      <w:r>
        <w:t xml:space="preserve"> växer främst på öppet stående, grova ädellövträd av framförallt ask och alm samt ibland även på lönn. Arten förekommer ofta i hagmarker, lövängar, parker och i alléer. Aktuella förekomster bör skyddas, speciellt förekomster som inte växer på alm och ask. Eftersom alm- och askskottsjukan är det allvarligaste hotet är åtgärder för att motverka dessa sjukdomar mycket viktigt. Alla blekspikar av släktet </w:t>
      </w:r>
      <w:r>
        <w:rPr>
          <w:i/>
        </w:rPr>
        <w:t>Sclerophora</w:t>
      </w:r>
      <w:r>
        <w:t xml:space="preserve"> ​​​​är utmärkta signalarter för gamla träd och skogsområden med höga naturvärden. Gulvit blekspik är typisk art för </w:t>
      </w:r>
      <w:r>
        <w:rPr>
          <w:i/>
        </w:rPr>
        <w:t>9020 Nordlig ädellövskog, 9070 Trädklädd betesmark, 9180 Ädellövskog i branter</w:t>
      </w:r>
      <w:r>
        <w:t xml:space="preserve"> och </w:t>
      </w:r>
      <w:r>
        <w:rPr>
          <w:i/>
        </w:rPr>
        <w:t>6530 Lövängar</w:t>
      </w:r>
      <w:r>
        <w:t xml:space="preserve"> (SLU Artdatabanken, 2024; Nitare &amp; Skogsstyrelsen, 2019).</w:t>
      </w:r>
    </w:p>
    <w:p>
      <w:r>
        <w:rPr>
          <w:b/>
        </w:rPr>
        <w:t>Klosterlav (VU)</w:t>
      </w:r>
      <w:r>
        <w:t xml:space="preserve"> växer på grov bark på stammar av framför allt ädellövträd som ask, bok, alm, lönn och lind, men fynd finns även på fläder och knäckepil. Klosterlaven finns både i sluten skog och i halvöppna till öppna miljöer, bl.a. på hamlade träd (solitära eller i löväng), i blandad ädellövskog och i ren bokskog. Arten förekommer vanligen vid basen av träden, men kan växa på upp till två meters höjd. På ljusa lokaler växer laven i sprickor på trädens skuggsida. Lokalerna har lång kontinuitet på gamla träd, hög luftfuktighet och andra rödlistade lavar förekommer ofta tillsammans med klosterlaven. Klosterlaven gynnas av att man sparar skog med lång kontinuitet, gamla vårdträd och lövängar. Alltför snabbt upptagande av hävden av lövängar kan innebära att laven skadas av den snabba förändringen till ett ljusare och torrare lokalklimat (SLU Artdatabanken, 2024).</w:t>
      </w:r>
    </w:p>
    <w:p>
      <w:r>
        <w:rPr>
          <w:b/>
        </w:rPr>
        <w:t>Rosa lundlav (VU)</w:t>
      </w:r>
      <w:r>
        <w:t xml:space="preserve"> växer på ädellövträd i gamla skogar med hög och jämn luftfuktighet och signalerar skyddsvärda ädellövskogar med lång kontinuitet. Minskningstakten uppgår till 30 (20–50) % inom 50 år och överstiger gränsvärdet för Sårbar (VU). Lokaler med rika förekomster bör skyddas. Rosa lundlav är typisk art för </w:t>
      </w:r>
      <w:r>
        <w:rPr>
          <w:i/>
        </w:rPr>
        <w:t xml:space="preserve">9020 Nordlig ädellövskog, 9110 Näringsfattig bokskog, 9130 Näringsrik bokskog </w:t>
      </w:r>
      <w:r>
        <w:t>och</w:t>
      </w:r>
      <w:r>
        <w:rPr>
          <w:i/>
        </w:rPr>
        <w:t xml:space="preserve"> 9180 Ädellövskog i branter</w:t>
      </w:r>
      <w:r>
        <w:t xml:space="preserve"> (SLU Artdatabanken, 2024; Nitare &amp; Skogsstyrelsen, 2019).</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Liten sönderfallslav (NT)</w:t>
      </w:r>
      <w:r>
        <w:t xml:space="preserve"> växer i södra och mellersta Sverige på ekar eller sällsynt på lind i öppna trädbevuxna marker med lång trädkontinuitet och hög luftfuktighet. Längre norrut växer den på grangrenar i kontinuitetsskogar dominerade av gran med hög luftfuktighet.  I södra och mellersta Sverige är igenväxning av öppna skogar ett hot och längre norrut är avverkning av kontinuitetsskogar ett hot (SLU Artdatabanken, 2024).</w:t>
      </w:r>
    </w:p>
    <w:p>
      <w:r>
        <w:rPr>
          <w:b/>
        </w:rPr>
        <w:t xml:space="preserve">Parknål (NT) </w:t>
      </w:r>
      <w:r>
        <w:t>växer söder om Dalälven på gamla ädellövträd och i norra Sverige på mycket gamla sälgar i skogar med hög och jämn luftfuktighet. Ofta förekommer den tillsammans med andra rödlistade knappnålslavar. Lämpliga träd nyskapas i begränsad omfattning. Spara grova träd, restaurera hag- och slåttermarker och öppna runt grova ekar som nu är kraftigt beskuggade. Förekomsterna i norra Sverige måste skyddas (SLU Artdatabanken, 2025).</w:t>
      </w:r>
    </w:p>
    <w:p>
      <w:r>
        <w:rPr>
          <w:b/>
        </w:rPr>
        <w:t>Puderfläck (NT)</w:t>
      </w:r>
      <w:r>
        <w:t xml:space="preserve"> växer huvudsakligen på halvgamla till gamla ekar med hård bark i halvöppna till slutna lägen. Vid några tillfällen har den hittats på hårdbarkig klibbal på lokaler med hög luftfuktighet. Skogarna har lång skoglig kontinuitet och ofta finns andra rödlistade lavar, t.ex. liten sönderfallslav (NT), på lokalerna. Åtminstone de rikligaste lokalerna bör skyddas (SLU Artdatabanken, 2026).</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Gulpudrad spiklav</w:t>
      </w:r>
      <w:r>
        <w:t xml:space="preserve"> är en av de viktigaste karaktärsarterna för gamla grova ekar. Den har högt signalvärde och visar på jätteekar som ofta har en rik flora av andra sällsynta lavar. Förekomster på andra substrat än ek visar också på skyddsvärda trädbestånd. Gulpudrad spiklav är typisk art för </w:t>
      </w:r>
      <w:r>
        <w:rPr>
          <w:i/>
        </w:rPr>
        <w:t>9070 Trädklädd betesmark</w:t>
      </w:r>
      <w:r>
        <w:t xml:space="preserve"> och </w:t>
      </w:r>
      <w:r>
        <w:rPr>
          <w:i/>
        </w:rPr>
        <w:t>9160 Näringsrik ekskog</w:t>
      </w:r>
      <w:r>
        <w:t xml:space="preserve"> (Nitare &amp; Skogsstyrelsen, 2019; SLU Artdatabanken, 2025).</w:t>
      </w:r>
    </w:p>
    <w:p>
      <w:r>
        <w:rPr>
          <w:b/>
        </w:rPr>
        <w:t xml:space="preserve">Kornig nållav </w:t>
      </w:r>
      <w:r>
        <w:t xml:space="preserve">förekommer i skuggiga miljöer med hög luftfuktighet och påträffas främst i gamla skogar eller på gamla träd. Den signalerar höga naturvärden och på lokalerna finns ofta flera ovanliga och rödlistade arter. Kornig nållav är typisk art för </w:t>
      </w:r>
      <w:r>
        <w:rPr>
          <w:i/>
        </w:rPr>
        <w:t xml:space="preserve">9110 Näringsfattig bokskog </w:t>
      </w:r>
      <w:r>
        <w:t>och</w:t>
      </w:r>
      <w:r>
        <w:rPr>
          <w:i/>
        </w:rPr>
        <w:t xml:space="preserve"> 9130 Näringsrik bokskog</w:t>
      </w:r>
      <w:r>
        <w:t xml:space="preserve"> (SLU Artdatabanken, 2024; Nitare &amp; Skogsstyrelsen, 2019).</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17 naturvårdsarter varav 10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