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som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grönfink (VU, §4), björktrast (NT, §4), gulsparv (NT, §4), göktyta (NT, §4), rödvingetrast (NT, §4), skrattmås (NT, §4), stor aspticka (S, T), gröngöling (§4) och grönsiska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822" cy="5688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11822"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2"/>
      </w:pPr>
      <w:r>
        <w:t>Fridlysta arter</w:t>
      </w:r>
    </w:p>
    <w:p>
      <w:r>
        <w:t>Följande fridlysta arter har sina livsmiljöer och växtplatser i den avverkningsanmälda skogen: grönfink (VU, §4), björktrast (NT, §4), gulsparv (NT, §4), göktyta (NT, §4), rödvingetrast (NT, §4), skrattmås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