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18207-2023 i Alvesta kommun</w:t>
      </w:r>
    </w:p>
    <w:p>
      <w:r>
        <w:t>Detta dokument behandlar höga naturvärden i avverkningsanmälan A 18207-2023 i Alvesta kommun. Denna avverkningsanmälan inkom 2023-04-25 09:11:04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gulvit blekspik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18207-2023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6294608, E 459413 i SWEREF 99 TM.</w:t>
      </w:r>
    </w:p>
    <w:p>
      <w:r>
        <w:rPr>
          <w:b/>
        </w:rPr>
        <w:t>Gulvit blekspik (VU)</w:t>
      </w:r>
      <w:r>
        <w:t xml:space="preserve"> växer främst på öppet stående, grova ädellövträd av framförallt ask och alm samt ibland även på lönn. Arten förekommer ofta i hagmarker, lövängar, parker och i alléer. Aktuella förekomster bör skyddas, speciellt förekomster som inte växer på alm och ask. Eftersom alm- och askskottsjukan är det allvarligaste hotet är åtgärder för att motverka dessa sjukdomar mycket viktigt. Alla blekspikar av släktet </w:t>
      </w:r>
      <w:r>
        <w:rPr>
          <w:i/>
        </w:rPr>
        <w:t>Sclerophora</w:t>
      </w:r>
      <w:r>
        <w:t xml:space="preserve"> ​​​​är utmärkta signalarter för gamla träd och skogsområden med höga naturvärden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