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35531-2023 i Alvesta kommun</w:t>
      </w:r>
    </w:p>
    <w:p>
      <w:r>
        <w:t>Detta dokument behandlar höga naturvärden i avverkningsanmälan A 35531-2023 i Alvesta kommun. Denna avverkningsanmälan inkom 2023-08-08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kricka (VU, §4), stare (VU, §4), buskskvätta (NT, §4), entita (NT, §4), fiskmås (NT, §4), gulsparv (NT, §4), spillkråka (NT, §4), svartvit flugsnappare (NT, §4) och talltita (NT,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6486"/>
            <wp:docPr id="1" name="Picture 1"/>
            <wp:cNvGraphicFramePr>
              <a:graphicFrameLocks noChangeAspect="1"/>
            </wp:cNvGraphicFramePr>
            <a:graphic>
              <a:graphicData uri="http://schemas.openxmlformats.org/drawingml/2006/picture">
                <pic:pic>
                  <pic:nvPicPr>
                    <pic:cNvPr id="0" name="A 35531-2023 karta.png"/>
                    <pic:cNvPicPr/>
                  </pic:nvPicPr>
                  <pic:blipFill>
                    <a:blip r:embed="rId16"/>
                    <a:stretch>
                      <a:fillRect/>
                    </a:stretch>
                  </pic:blipFill>
                  <pic:spPr>
                    <a:xfrm>
                      <a:off x="0" y="0"/>
                      <a:ext cx="5486400" cy="3276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6309803, E 462149 i SWEREF 99 TM.</w:t>
      </w:r>
    </w:p>
    <w:p>
      <w:pPr>
        <w:pStyle w:val="Heading1"/>
      </w:pPr>
      <w:r>
        <w:t>Fridlysta arter</w:t>
      </w:r>
    </w:p>
    <w:p>
      <w:r>
        <w:t>Följande fridlysta arter har sina livsmiljöer och växtplatser i den avverkningsanmälda skogen: kricka (VU, §4), stare (VU, §4), buskskvätta (NT, §4), entita (NT, §4), fiskmås (NT, §4), gulsparv (NT, §4), spillkråka (NT, §4), svartvit flugsnappare (NT, §4) och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