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4732-2024 i Alvesta kommun</w:t>
      </w:r>
    </w:p>
    <w:p>
      <w:r>
        <w:t>Detta klagomål behandlar höga naturvärden i avverkningsanmälan A 4732-2024 i Alvesta kommun som inkom 2024-02-06 och omfattar 3,0 ha.</w:t>
      </w:r>
    </w:p>
    <w:p>
      <w:pPr>
        <w:pStyle w:val="Caption"/>
      </w:pPr>
      <w:r>
        <w:drawing>
          <wp:inline xmlns:a="http://schemas.openxmlformats.org/drawingml/2006/main" xmlns:pic="http://schemas.openxmlformats.org/drawingml/2006/picture">
            <wp:extent cx="5101636" cy="5724000"/>
            <wp:docPr id="1" name="Picture 1"/>
            <wp:cNvGraphicFramePr>
              <a:graphicFrameLocks noChangeAspect="1"/>
            </wp:cNvGraphicFramePr>
            <a:graphic>
              <a:graphicData uri="http://schemas.openxmlformats.org/drawingml/2006/picture">
                <pic:pic>
                  <pic:nvPicPr>
                    <pic:cNvPr id="0" name="A 4732-2024 karta.png"/>
                    <pic:cNvPicPr/>
                  </pic:nvPicPr>
                  <pic:blipFill>
                    <a:blip r:embed="rId16"/>
                    <a:stretch>
                      <a:fillRect/>
                    </a:stretch>
                  </pic:blipFill>
                  <pic:spPr>
                    <a:xfrm>
                      <a:off x="0" y="0"/>
                      <a:ext cx="510163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6322931, E 466781 i SWEREF 99 TM.</w:t>
      </w:r>
    </w:p>
    <w:p>
      <w:r>
        <w:t>I och inom 25 meter från avverkningsanmälan finns fynd av 9 naturvårdsarter, varav 3 är rödlistade, 2 är fridlysta, 5 är typiska (T) och 4 är signalarter (S): garnlav (VU, T), vedflikmossa (NT), vedtrappmossa (NT, T), stor revmossa (S), trådticka (S, T), västlig hakmossa (S), vågbandad barkbock (S),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