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 och inom 23 meter från avverkningsanmälan finns fynd av 3 naturvårdsarter, varav 1 är rödlistad, 1 är typisk (T) och 2 är signalarter (S): vedtrappmossa (NT,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