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48196-2025 i Älmhults kommun</w:t>
      </w:r>
    </w:p>
    <w:p>
      <w:r>
        <w:t>Detta klagomål behandlar höga naturvärden i avverkningsanmälan A 48196-2025 i Älmhults kommun som inkom 2025-10-02 och omfattar 20,1 ha.</w:t>
      </w:r>
    </w:p>
    <w:p>
      <w:pPr>
        <w:pStyle w:val="Caption"/>
      </w:pPr>
      <w:r>
        <w:drawing>
          <wp:inline xmlns:a="http://schemas.openxmlformats.org/drawingml/2006/main" xmlns:pic="http://schemas.openxmlformats.org/drawingml/2006/picture">
            <wp:extent cx="5236181" cy="5724000"/>
            <wp:docPr id="1" name="Picture 1"/>
            <wp:cNvGraphicFramePr>
              <a:graphicFrameLocks noChangeAspect="1"/>
            </wp:cNvGraphicFramePr>
            <a:graphic>
              <a:graphicData uri="http://schemas.openxmlformats.org/drawingml/2006/picture">
                <pic:pic>
                  <pic:nvPicPr>
                    <pic:cNvPr id="0" name="A 48196-2025 karta.png"/>
                    <pic:cNvPicPr/>
                  </pic:nvPicPr>
                  <pic:blipFill>
                    <a:blip r:embed="rId16"/>
                    <a:stretch>
                      <a:fillRect/>
                    </a:stretch>
                  </pic:blipFill>
                  <pic:spPr>
                    <a:xfrm>
                      <a:off x="0" y="0"/>
                      <a:ext cx="5236181"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6265556, E 447796 i SWEREF 99 TM.</w:t>
      </w:r>
    </w:p>
    <w:p>
      <w:r>
        <w:t>I avverkningsanmälan finns fynd av 1 naturvårdsarter, varav 1 är rödlistad och 1 är fridlyst: sparvuggla (NT,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Sparvuggla (NT, §4)</w:t>
      </w:r>
      <w:r>
        <w:t xml:space="preserve"> är fridlyst enligt 4§ artskyddsförordningen och omfattas av bilaga 1 EU:s fågeldirektiv. Den har minskat med 15 (5–25) % under de senaste 15 åren och minskningstakten för den svenska populationen bedöms vara nära gränsvärdet för Sårbar (VU).  Sparvugglan häckar i naturskog samt i klassisk bondeskog och förekommer främst i större skogsområden som domineras av barrblandskog med stort inslag av asp, björk och andra lövträd. Den behöver relativt stora skogsområden och saknas helt i mindre skogar och isolerade dungar. Reviren är i storleksordningen upp till 200 hektar. Sparvugglan missgynnas av överföring av variationsrika bondeskogar till ensartade produktionsskogar. Särskilt avverkning av lövträdsrika kantzoner och igenplantering av gamla inägor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Sparvuggla – ekologi samt krav på livsmiljön</w:t>
      </w:r>
    </w:p>
    <w:p>
      <w:r>
        <w:t>Sparvuggla (NT, §4) är fridlyst enligt 4§ artskyddsförordningen och omfattas av bilaga 1 EU:s fågeldirektiv. Den har minskat med 15 (5–25) % under de senaste 15 åren och minskningstakten för den svenska populationen bedöms vara nära gränsvärdet för Sårbar (VU) (SLU Artdatabanken 2026).</w:t>
      </w:r>
    </w:p>
    <w:p>
      <w:r>
        <w:t>Sparvugglan häckar i naturskog samt i klassisk bondeskog och förekommer främst i större skogsområden som domineras av barrblandskog med stort inslag av asp, björk och andra lövträd. Den behöver relativt stora skogsområden och saknas helt i mindre skogar och isolerade dungar. Reviren är i storleksordningen upp till 200 hektar. Sparvugglan missgynnas av överföring av variationsrika bondeskogar till ensartade produktionsskogar – särskilt avverkning av lövträdsrika kantzoner och igenplantering av gamla inägor (Skogsstyrelsen, 2016).</w:t>
      </w:r>
    </w:p>
    <w:p>
      <w:pPr>
        <w:pStyle w:val="Heading2"/>
      </w:pPr>
      <w:r>
        <w:t>Referenser – sparvuggla</w:t>
      </w:r>
    </w:p>
    <w:p>
      <w:r>
        <w:t xml:space="preserve">Skogsstyrelsen, 2016. </w:t>
      </w:r>
      <w:r>
        <w:rPr>
          <w:i/>
        </w:rPr>
        <w:t>Vägledning för hänsyn till sparvuggla.</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