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145-2026 i Älmhults kommun</w:t>
      </w:r>
    </w:p>
    <w:p>
      <w:r>
        <w:t>Denna tillsynsbegäran behandlar höga naturvärden i samrådsanmälan S 145-2026 i Älmhults kommun som inkom 2026-01-21 och omfattar 0,1 ha.</w:t>
      </w:r>
    </w:p>
    <w:p>
      <w:pPr>
        <w:pStyle w:val="Caption"/>
      </w:pPr>
      <w:r>
        <w:drawing>
          <wp:inline xmlns:a="http://schemas.openxmlformats.org/drawingml/2006/main" xmlns:pic="http://schemas.openxmlformats.org/drawingml/2006/picture">
            <wp:extent cx="5432759" cy="5724000"/>
            <wp:docPr id="1" name="Picture 1"/>
            <wp:cNvGraphicFramePr>
              <a:graphicFrameLocks noChangeAspect="1"/>
            </wp:cNvGraphicFramePr>
            <a:graphic>
              <a:graphicData uri="http://schemas.openxmlformats.org/drawingml/2006/picture">
                <pic:pic>
                  <pic:nvPicPr>
                    <pic:cNvPr id="0" name="S 145-2026 karta.png"/>
                    <pic:cNvPicPr/>
                  </pic:nvPicPr>
                  <pic:blipFill>
                    <a:blip r:embed="rId16"/>
                    <a:stretch>
                      <a:fillRect/>
                    </a:stretch>
                  </pic:blipFill>
                  <pic:spPr>
                    <a:xfrm>
                      <a:off x="0" y="0"/>
                      <a:ext cx="5432759"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6274547, E 449079 i SWEREF 99 TM.</w:t>
      </w:r>
    </w:p>
    <w:p>
      <w:r>
        <w:t>Inom 19 meter från samrådsanmälan finns fynd av 3 naturvårdsarter, varav 1 är rödlistad, 1 är typisk (T) och 2 är signalarter (S): sjötåtel (VU), borstskölding (S) och safsa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Borstskölding </w:t>
      </w:r>
      <w:r>
        <w:t>påträffas i</w:t>
      </w:r>
      <w:r>
        <w:rPr>
          <w:b/>
        </w:rPr>
        <w:t xml:space="preserve"> </w:t>
      </w:r>
      <w:r>
        <w:t>löv- och blandskog, bl.a. ängsbokskog och lund, där den</w:t>
      </w:r>
      <w:r>
        <w:rPr>
          <w:b/>
        </w:rPr>
        <w:t xml:space="preserve"> </w:t>
      </w:r>
      <w:r>
        <w:t>växer på liggande stammar och murken ved av lövträd, bl.a. bok, asp och björk. Arten är placerad högst upp i Skogsstyrelsens värdepyramid för bedömning av skog med höga naturvärden (SLU Artdatabanken, 2024; Nitare &amp; Skogsstyrelsen, 2019).</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