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3128-2026 i Älmhults kommun</w:t>
      </w:r>
    </w:p>
    <w:p>
      <w:r>
        <w:t>Detta klagomål behandlar höga naturvärden i avverkningsanmälan A 3128-2026 i Älmhults kommun som inkom 2026-01-19 och omfattar 2,0 ha.</w:t>
      </w:r>
    </w:p>
    <w:p>
      <w:pPr>
        <w:pStyle w:val="Caption"/>
      </w:pPr>
      <w:r>
        <w:drawing>
          <wp:inline xmlns:a="http://schemas.openxmlformats.org/drawingml/2006/main" xmlns:pic="http://schemas.openxmlformats.org/drawingml/2006/picture">
            <wp:extent cx="5486400" cy="5231135"/>
            <wp:docPr id="1" name="Picture 1"/>
            <wp:cNvGraphicFramePr>
              <a:graphicFrameLocks noChangeAspect="1"/>
            </wp:cNvGraphicFramePr>
            <a:graphic>
              <a:graphicData uri="http://schemas.openxmlformats.org/drawingml/2006/picture">
                <pic:pic>
                  <pic:nvPicPr>
                    <pic:cNvPr id="0" name="A 3128-2026 karta.png"/>
                    <pic:cNvPicPr/>
                  </pic:nvPicPr>
                  <pic:blipFill>
                    <a:blip r:embed="rId16"/>
                    <a:stretch>
                      <a:fillRect/>
                    </a:stretch>
                  </pic:blipFill>
                  <pic:spPr>
                    <a:xfrm>
                      <a:off x="0" y="0"/>
                      <a:ext cx="5486400" cy="5231135"/>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6257108, E 471459 i SWEREF 99 TM.</w:t>
      </w:r>
    </w:p>
    <w:p>
      <w:r>
        <w:t>I och inom 21 meter från avverkningsanmälan finns fynd av 6 naturvårdsarter, varav 2 är rödlistade, 5 är typiska (T) och 4 är signalarter (S): motaggsvamp (NT, T), vedtrappmossa (NT, T), blåsfliksmossa (S, T), rävticka (S, T), skuggmossa (S, T) och västlig hakmossa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Blåsfliksmossa </w:t>
      </w:r>
      <w:r>
        <w:t xml:space="preserve">växer i skuggiga och fuktiga miljöer på klippor och stenar av såväl grönsten som silikat, till exempel intill naturliga skogsbäckar, i raviner och bergbranter. Den signalerar höga naturvärden främst i östra och norra Sverige och indikerar miljöer med jämn och hög luftfuktighet och ett basiskt underlag. Artens lokaler har ofta hög artrikedom. Blåsfliksmossa är typisk art för </w:t>
      </w:r>
      <w:r>
        <w:rPr>
          <w:i/>
        </w:rPr>
        <w:t>9080 Lövsumpskog</w:t>
      </w:r>
      <w:r>
        <w:t xml:space="preserve"> (SLU Artdatabanken, 2025; Nitare &amp; Skogsstyrelsen, 2019).</w:t>
      </w:r>
    </w:p>
    <w:p>
      <w:r>
        <w:rPr>
          <w:b/>
        </w:rPr>
        <w:t>Rävticka</w:t>
      </w:r>
      <w:r>
        <w:t xml:space="preserve"> är typisk art för </w:t>
      </w:r>
      <w:r>
        <w:rPr>
          <w:i/>
        </w:rPr>
        <w:t xml:space="preserve">9010 Taiga </w:t>
      </w:r>
      <w:r>
        <w:t>(SLU Artdatabanken, 2025).</w:t>
      </w:r>
    </w:p>
    <w:p>
      <w:r>
        <w:rPr>
          <w:b/>
        </w:rPr>
        <w:t xml:space="preserve">Skuggmossa </w:t>
      </w:r>
      <w:r>
        <w:t xml:space="preserve">förekommer främst i skuggiga och fuktiga granskogar med hög och jämn luftfuktighet och signalerar alltid skog med höga naturvärden. Skuggmossa är typisk art för </w:t>
      </w:r>
      <w:r>
        <w:rPr>
          <w:i/>
        </w:rPr>
        <w:t>9080 Lövsumpskog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