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23510-2022 i Växjö kommun</w:t>
      </w:r>
    </w:p>
    <w:p>
      <w:r>
        <w:t>Denna tillsynsbegäran behandlar höga naturvärden i avverkningsanmälan A 23510-2022 i Växjö kommun som inkom 2022-06-09 och omfattar 1,1 ha.</w:t>
      </w:r>
    </w:p>
    <w:p>
      <w:pPr>
        <w:pStyle w:val="Caption"/>
      </w:pPr>
      <w:r>
        <w:drawing>
          <wp:inline xmlns:a="http://schemas.openxmlformats.org/drawingml/2006/main" xmlns:pic="http://schemas.openxmlformats.org/drawingml/2006/picture">
            <wp:extent cx="5486400" cy="5641493"/>
            <wp:docPr id="1" name="Picture 1"/>
            <wp:cNvGraphicFramePr>
              <a:graphicFrameLocks noChangeAspect="1"/>
            </wp:cNvGraphicFramePr>
            <a:graphic>
              <a:graphicData uri="http://schemas.openxmlformats.org/drawingml/2006/picture">
                <pic:pic>
                  <pic:nvPicPr>
                    <pic:cNvPr id="0" name="A 23510-2022 karta.png"/>
                    <pic:cNvPicPr/>
                  </pic:nvPicPr>
                  <pic:blipFill>
                    <a:blip r:embed="rId16"/>
                    <a:stretch>
                      <a:fillRect/>
                    </a:stretch>
                  </pic:blipFill>
                  <pic:spPr>
                    <a:xfrm>
                      <a:off x="0" y="0"/>
                      <a:ext cx="5486400" cy="5641493"/>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och har ett svart streck som visar fyndplatsens exakta position. Kartans mittpunktskoordinat är N 6306444, E 494393 i SWEREF 99 TM.</w:t>
      </w:r>
    </w:p>
    <w:p>
      <w:r>
        <w:t>Inom 17 meter från avverkningsanmälan finns fynd av 1 naturvårdsarter, varav 1 är signalart (S): robust tickgnagare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Robust tickgnagare</w:t>
      </w:r>
      <w:r>
        <w:rPr>
          <w:b/>
          <w:i/>
        </w:rPr>
        <w:t xml:space="preserve"> </w:t>
      </w:r>
      <w:r>
        <w:t>är en skalbagge vars larvutveckling sker i fruktkroppar av fnöskticka, främst på björk. Arten missgynnas av brist på kontinuitetsskog och det föreligger indikation på eller misstanke om populationsminskning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