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2406-2025 i Växjö kommun</w:t>
      </w:r>
    </w:p>
    <w:p>
      <w:r>
        <w:t>Detta klagomål behandlar höga naturvärden i samrådsanmälan S 2406-2025 i Växjö kommun som inkom 2025-08-26 och omfattar 24,0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S 2406-2025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6297089, E 490485 i SWEREF 99 TM.</w:t>
      </w:r>
    </w:p>
    <w:p>
      <w:r>
        <w:t>I och inom 24 meter från samrådsanmälan finns fynd av 16 naturvårdsarter, varav 7 är rödlistade, 10 är fridlysta, 6 är typiska (T) och 4 är signalarter (S): storspov (EN, §4), björktrast (NT, §4), gulsparv (NT, §4), kattfotslav (NT, T), nötkråka (NT, T, §4), talltita (NT, §4), vedtrappmossa (NT, T), bronshjon (S, T), flagellkvastmossa (S, T), thomsons trägnagare (S), västlig hakmossa (S), spillkråka (T, §4), grönsiska (§4), kungsfågel (§4), svartvit flugsnappare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