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4723-2019</w:t>
      </w:r>
      <w:r w:rsidR="00C9278C">
        <w:t xml:space="preserve"> </w:t>
      </w:r>
      <w:r w:rsidRPr="00C9278C">
        <w:t>finns</w:t>
      </w:r>
      <w:r w:rsidR="00153BF2">
        <w:t xml:space="preserve"> </w:t>
      </w:r>
      <w:r w:rsidR="00C77A28">
        <w:t>artfynd av</w:t>
      </w:r>
      <w:r w:rsidR="00CB335E">
        <w:t xml:space="preserve"> </w:t>
      </w:r>
      <w:r w:rsidR="005D0317" w:rsidRPr="005D0317">
        <w:t>havsörn, nötkråka och 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dessa arter</w:t>
      </w:r>
      <w:r w:rsidR="00153BF2">
        <w:t>.</w:t>
      </w:r>
      <w:r>
        <w:t xml:space="preserve"> </w:t>
      </w:r>
      <w:r w:rsidR="00C9278C" w:rsidRPr="00C9278C">
        <w:t xml:space="preserve">Det avverkningsanmälda området hyser miljöer lämpliga för </w:t>
      </w:r>
      <w:r w:rsidR="00E128F7">
        <w:t>arterna</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havsörn, nötkråka och 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