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20 naturvårdsarter, varav 10 är rödlistade, 13 är fridlysta, 5 är typiska (T) och 1 är signalart (S): hornuggla (EN, §4), brunfläckig pärlemorfjäril (VU), igelkott (VU), slåttergubbe (VU), järnsparv (NT, §4), mindre tåtelsmygare (NT), motaggsvamp (NT, T), skogshare (NT), sparvuggla (NT, §4), talltita (NT, §4),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