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24339-2023 i Växjö kommun</w:t>
      </w:r>
    </w:p>
    <w:p>
      <w:r>
        <w:t>Denna tillsynsbegäran behandlar höga naturvärden i avverkningsanmälan A 24339-2023 i Växjö kommun som inkom 2023-06-04 och omfattar 3,0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24339-2023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6335908, E 487224 i SWEREF 99 TM.</w:t>
      </w:r>
    </w:p>
    <w:p>
      <w:r>
        <w:t>I avverkningsanmälan finns fynd av 5 naturvårdsarter, varav 1 är rödlistad, 5 är fridlysta och 1 är typisk (T): tofsvipa (VU, §4), spillkråka (T, §4), gröngöling (§4), trana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