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27227-2026 i Växjö kommun</w:t>
      </w:r>
    </w:p>
    <w:p>
      <w:r>
        <w:t>Detta dokument behandlar höga naturvärden i avverkningsanmälan A 27227-2026 i Växjö kommun som inkom 2026-06-15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apelsinticka (NT), tallticka (NT, T), talltita (NT, §4), västlig hakmossa (S), tofsmes (T, §4) och kungsfågel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27227-2026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6331002, E 483640 i SWEREF 99 TM.</w:t>
      </w:r>
    </w:p>
    <w:p>
      <w:pPr>
        <w:pStyle w:val="Heading2"/>
      </w:pPr>
      <w:r>
        <w:t>Fridlysta arter</w:t>
      </w:r>
    </w:p>
    <w:p>
      <w:r>
        <w:t>Följande fridlysta arter har sina livsmiljöer och växtplatser i den avverkningsanmälda skogen: talltita (NT, §4), tofsmes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r>
        <w:t>I BILAGA 1 finns mer detaljerad information om ekologi samt krav på livsmiljö hos fridlysta arter.</w:t>
      </w:r>
    </w:p>
    <w:p>
      <w:pPr>
        <w:pStyle w:val="Heading2"/>
      </w:pPr>
      <w:r>
        <w:t>Övriga naturvårdsarter</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