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522-2024 i Växjö kommun</w:t>
      </w:r>
    </w:p>
    <w:p>
      <w:r>
        <w:t>Detta klagomål behandlar höga naturvärden i samrådsanmälan S 522-2024 i Växjö kommun som inkom 2024-02-26 och omfattar 0,3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S 522-2024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6321325, E 480590 i SWEREF 99 TM.</w:t>
      </w:r>
    </w:p>
    <w:p>
      <w:r>
        <w:t>I och inom 7 meter från samrådsanmälan finns fynd av 2 naturvårdsarter, varav 1 är rödlistad och 1 är signalart (S): spinnfingersvamp (NT) och mandelriska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