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25236-2026 i Växjö kommun</w:t>
      </w:r>
    </w:p>
    <w:p>
      <w:r>
        <w:t>Denna tillsynsbegäran behandlar höga naturvärden i avverkningsanmälan A 25236-2026 i Växjö kommun som inkom 2026-06-02 och omfattar 2,2 ha.</w:t>
      </w:r>
    </w:p>
    <w:p>
      <w:pPr>
        <w:pStyle w:val="Caption"/>
      </w:pPr>
      <w:r>
        <w:drawing>
          <wp:inline xmlns:a="http://schemas.openxmlformats.org/drawingml/2006/main" xmlns:pic="http://schemas.openxmlformats.org/drawingml/2006/picture">
            <wp:extent cx="5486400" cy="4610287"/>
            <wp:docPr id="1" name="Picture 1"/>
            <wp:cNvGraphicFramePr>
              <a:graphicFrameLocks noChangeAspect="1"/>
            </wp:cNvGraphicFramePr>
            <a:graphic>
              <a:graphicData uri="http://schemas.openxmlformats.org/drawingml/2006/picture">
                <pic:pic>
                  <pic:nvPicPr>
                    <pic:cNvPr id="0" name="A 25236-2026 karta.png"/>
                    <pic:cNvPicPr/>
                  </pic:nvPicPr>
                  <pic:blipFill>
                    <a:blip r:embed="rId16"/>
                    <a:stretch>
                      <a:fillRect/>
                    </a:stretch>
                  </pic:blipFill>
                  <pic:spPr>
                    <a:xfrm>
                      <a:off x="0" y="0"/>
                      <a:ext cx="5486400" cy="46102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6341263, E 489235 i SWEREF 99 TM.</w:t>
      </w:r>
    </w:p>
    <w:p>
      <w:r>
        <w:t>I avverkningsanmälan finns fynd av 7 naturvårdsarter, varav 1 är fridlyst, 6 är typiska (T) och 6 är signalarter (S): bårdlav (S, T), fällmossa (S, T), korallblylav (S, T), rävticka (S, T), skinnlav (S, T), västlig hakmossa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bårdlav (S, T), fällmossa (S, T), korallblylav (S, T), rävticka (S, T), skinnlav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