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33208-2023 i Växjö kommun</w:t>
      </w:r>
    </w:p>
    <w:p>
      <w:r>
        <w:t>Denna tillsynsbegäran behandlar höga naturvärden i avverkningsanmälan A 33208-2023 i Växjö kommun som inkom 2023-07-20 och omfattar 1,5 ha.</w:t>
      </w:r>
    </w:p>
    <w:p>
      <w:pPr>
        <w:pStyle w:val="Caption"/>
      </w:pPr>
      <w:r>
        <w:drawing>
          <wp:inline xmlns:a="http://schemas.openxmlformats.org/drawingml/2006/main" xmlns:pic="http://schemas.openxmlformats.org/drawingml/2006/picture">
            <wp:extent cx="5486400" cy="4828409"/>
            <wp:docPr id="1" name="Picture 1"/>
            <wp:cNvGraphicFramePr>
              <a:graphicFrameLocks noChangeAspect="1"/>
            </wp:cNvGraphicFramePr>
            <a:graphic>
              <a:graphicData uri="http://schemas.openxmlformats.org/drawingml/2006/picture">
                <pic:pic>
                  <pic:nvPicPr>
                    <pic:cNvPr id="0" name="A 33208-2023 karta.png"/>
                    <pic:cNvPicPr/>
                  </pic:nvPicPr>
                  <pic:blipFill>
                    <a:blip r:embed="rId16"/>
                    <a:stretch>
                      <a:fillRect/>
                    </a:stretch>
                  </pic:blipFill>
                  <pic:spPr>
                    <a:xfrm>
                      <a:off x="0" y="0"/>
                      <a:ext cx="5486400" cy="482840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6316589, E 480562 i SWEREF 99 TM.</w:t>
      </w:r>
    </w:p>
    <w:p>
      <w:r>
        <w:t>Inom 14 meter från avverkningsanmälan finns fynd av 7 naturvårdsarter, varav 3 är rödlistade och 7 är fridlysta: björktrast (NT, §4), ladusvala (NT, §4), skrattmås (NT, §4), kråka (§4), röd glada (§4), svartvit flugsnappare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